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6EA" w:rsidRDefault="005456EA" w:rsidP="005456EA">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456EA" w:rsidTr="008618D5">
        <w:trPr>
          <w:jc w:val="center"/>
        </w:trPr>
        <w:tc>
          <w:tcPr>
            <w:tcW w:w="743" w:type="dxa"/>
          </w:tcPr>
          <w:p w:rsidR="005456EA" w:rsidRPr="00DD05A8" w:rsidRDefault="005456EA" w:rsidP="008618D5">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5456EA" w:rsidRPr="00233388" w:rsidRDefault="005456EA" w:rsidP="008618D5">
            <w:pPr>
              <w:suppressLineNumbers/>
              <w:rPr>
                <w:rFonts w:ascii="Narkisim" w:hAnsi="Narkisim" w:cs="Narkisim"/>
                <w:b/>
                <w:bCs/>
                <w:sz w:val="28"/>
                <w:szCs w:val="28"/>
                <w:rtl/>
              </w:rPr>
            </w:pPr>
            <w:r w:rsidRPr="00233388">
              <w:rPr>
                <w:rFonts w:ascii="Narkisim" w:hAnsi="Narkisim" w:cs="Narkisim"/>
                <w:b/>
                <w:bCs/>
                <w:sz w:val="28"/>
                <w:szCs w:val="28"/>
                <w:rtl/>
              </w:rPr>
              <w:t>כבוד ה</w:t>
            </w:r>
            <w:sdt>
              <w:sdtPr>
                <w:rPr>
                  <w:rFonts w:ascii="Narkisim" w:hAnsi="Narkisim" w:cs="Narkisim"/>
                  <w:b/>
                  <w:bCs/>
                  <w:sz w:val="28"/>
                  <w:szCs w:val="28"/>
                  <w:rtl/>
                </w:rPr>
                <w:alias w:val="1574"/>
                <w:tag w:val="1574"/>
                <w:id w:val="414602899"/>
                <w:text w:multiLine="1"/>
              </w:sdtPr>
              <w:sdtEndPr/>
              <w:sdtContent>
                <w:r w:rsidRPr="0029302E">
                  <w:rPr>
                    <w:rFonts w:ascii="Narkisim" w:hAnsi="Narkisim" w:cs="Narkisim"/>
                    <w:b/>
                    <w:bCs/>
                    <w:sz w:val="28"/>
                    <w:szCs w:val="28"/>
                    <w:rtl/>
                  </w:rPr>
                  <w:t>שופטת, סגנית הנשיאה</w:t>
                </w:r>
              </w:sdtContent>
            </w:sdt>
            <w:r w:rsidRPr="00233388">
              <w:rPr>
                <w:rFonts w:ascii="Narkisim" w:hAnsi="Narkisim" w:cs="Narkisim"/>
                <w:b/>
                <w:bCs/>
                <w:sz w:val="28"/>
                <w:szCs w:val="28"/>
                <w:rtl/>
              </w:rPr>
              <w:t xml:space="preserve"> </w:t>
            </w:r>
            <w:sdt>
              <w:sdtPr>
                <w:rPr>
                  <w:rFonts w:ascii="Narkisim" w:hAnsi="Narkisim" w:cs="Narkisim"/>
                  <w:b/>
                  <w:bCs/>
                  <w:sz w:val="28"/>
                  <w:szCs w:val="28"/>
                  <w:rtl/>
                </w:rPr>
                <w:alias w:val="1573"/>
                <w:tag w:val="1573"/>
                <w:id w:val="-1751030614"/>
                <w:text w:multiLine="1"/>
              </w:sdtPr>
              <w:sdtEndPr/>
              <w:sdtContent>
                <w:r w:rsidRPr="0029302E">
                  <w:rPr>
                    <w:rFonts w:ascii="Narkisim" w:hAnsi="Narkisim" w:cs="Narkisim"/>
                    <w:b/>
                    <w:bCs/>
                    <w:sz w:val="28"/>
                    <w:szCs w:val="28"/>
                    <w:rtl/>
                  </w:rPr>
                  <w:t>ו. פלאוט, אב"ד</w:t>
                </w:r>
              </w:sdtContent>
            </w:sdt>
          </w:p>
          <w:p w:rsidR="005456EA" w:rsidRPr="00233388" w:rsidRDefault="005456EA" w:rsidP="008618D5">
            <w:pPr>
              <w:suppressLineNumbers/>
              <w:rPr>
                <w:rFonts w:ascii="Narkisim" w:hAnsi="Narkisim" w:cs="Narkisim"/>
                <w:b/>
                <w:bCs/>
                <w:sz w:val="28"/>
                <w:szCs w:val="28"/>
                <w:rtl/>
              </w:rPr>
            </w:pPr>
            <w:r w:rsidRPr="00233388">
              <w:rPr>
                <w:rFonts w:ascii="Narkisim" w:hAnsi="Narkisim" w:cs="Narkisim"/>
                <w:b/>
                <w:bCs/>
                <w:sz w:val="28"/>
                <w:szCs w:val="28"/>
                <w:rtl/>
              </w:rPr>
              <w:t>כבוד ה</w:t>
            </w:r>
            <w:sdt>
              <w:sdtPr>
                <w:rPr>
                  <w:rFonts w:ascii="Narkisim" w:hAnsi="Narkisim" w:cs="Narkisim"/>
                  <w:b/>
                  <w:bCs/>
                  <w:sz w:val="28"/>
                  <w:szCs w:val="28"/>
                  <w:rtl/>
                </w:rPr>
                <w:alias w:val="1574"/>
                <w:tag w:val="1574"/>
                <w:id w:val="-116918798"/>
                <w:text w:multiLine="1"/>
              </w:sdtPr>
              <w:sdtEndPr/>
              <w:sdtContent>
                <w:r w:rsidRPr="0029302E">
                  <w:rPr>
                    <w:rFonts w:ascii="Narkisim" w:hAnsi="Narkisim" w:cs="Narkisim"/>
                    <w:b/>
                    <w:bCs/>
                    <w:sz w:val="28"/>
                    <w:szCs w:val="28"/>
                    <w:rtl/>
                  </w:rPr>
                  <w:t>שופט</w:t>
                </w:r>
              </w:sdtContent>
            </w:sdt>
            <w:r w:rsidRPr="00233388">
              <w:rPr>
                <w:rFonts w:ascii="Narkisim" w:hAnsi="Narkisim" w:cs="Narkisim"/>
                <w:b/>
                <w:bCs/>
                <w:sz w:val="28"/>
                <w:szCs w:val="28"/>
                <w:rtl/>
              </w:rPr>
              <w:t xml:space="preserve"> צ. </w:t>
            </w:r>
            <w:sdt>
              <w:sdtPr>
                <w:rPr>
                  <w:rFonts w:ascii="Narkisim" w:hAnsi="Narkisim" w:cs="Narkisim"/>
                  <w:b/>
                  <w:bCs/>
                  <w:sz w:val="28"/>
                  <w:szCs w:val="28"/>
                  <w:rtl/>
                </w:rPr>
                <w:alias w:val="1573"/>
                <w:tag w:val="1573"/>
                <w:id w:val="-1154292713"/>
                <w:text w:multiLine="1"/>
              </w:sdtPr>
              <w:sdtEndPr/>
              <w:sdtContent>
                <w:r w:rsidRPr="0029302E">
                  <w:rPr>
                    <w:rFonts w:ascii="Narkisim" w:hAnsi="Narkisim" w:cs="Narkisim"/>
                    <w:b/>
                    <w:bCs/>
                    <w:sz w:val="28"/>
                    <w:szCs w:val="28"/>
                    <w:rtl/>
                  </w:rPr>
                  <w:t>ויצמן</w:t>
                </w:r>
              </w:sdtContent>
            </w:sdt>
          </w:p>
          <w:p w:rsidR="005456EA" w:rsidRPr="00233388" w:rsidRDefault="005456EA" w:rsidP="008618D5">
            <w:pPr>
              <w:suppressLineNumbers/>
              <w:rPr>
                <w:rFonts w:ascii="Narkisim" w:hAnsi="Narkisim" w:cs="Narkisim"/>
                <w:b/>
                <w:bCs/>
                <w:sz w:val="28"/>
                <w:szCs w:val="28"/>
                <w:rtl/>
              </w:rPr>
            </w:pPr>
            <w:r w:rsidRPr="00233388">
              <w:rPr>
                <w:rFonts w:ascii="Narkisim" w:hAnsi="Narkisim" w:cs="Narkisim"/>
                <w:b/>
                <w:bCs/>
                <w:sz w:val="28"/>
                <w:szCs w:val="28"/>
                <w:rtl/>
              </w:rPr>
              <w:t>כבוד ה</w:t>
            </w:r>
            <w:sdt>
              <w:sdtPr>
                <w:rPr>
                  <w:rFonts w:ascii="Narkisim" w:hAnsi="Narkisim" w:cs="Narkisim"/>
                  <w:b/>
                  <w:bCs/>
                  <w:sz w:val="28"/>
                  <w:szCs w:val="28"/>
                  <w:rtl/>
                </w:rPr>
                <w:alias w:val="1574"/>
                <w:tag w:val="1574"/>
                <w:id w:val="194890366"/>
                <w:text w:multiLine="1"/>
              </w:sdtPr>
              <w:sdtEndPr/>
              <w:sdtContent>
                <w:r w:rsidRPr="0029302E">
                  <w:rPr>
                    <w:rFonts w:ascii="Narkisim" w:hAnsi="Narkisim" w:cs="Narkisim"/>
                    <w:b/>
                    <w:bCs/>
                    <w:sz w:val="28"/>
                    <w:szCs w:val="28"/>
                    <w:rtl/>
                  </w:rPr>
                  <w:t>שופטת</w:t>
                </w:r>
              </w:sdtContent>
            </w:sdt>
            <w:r w:rsidRPr="00233388">
              <w:rPr>
                <w:rFonts w:ascii="Narkisim" w:hAnsi="Narkisim" w:cs="Narkisim"/>
                <w:b/>
                <w:bCs/>
                <w:sz w:val="28"/>
                <w:szCs w:val="28"/>
                <w:rtl/>
              </w:rPr>
              <w:t xml:space="preserve"> </w:t>
            </w:r>
            <w:sdt>
              <w:sdtPr>
                <w:rPr>
                  <w:rFonts w:ascii="Narkisim" w:hAnsi="Narkisim" w:cs="Narkisim"/>
                  <w:b/>
                  <w:bCs/>
                  <w:sz w:val="28"/>
                  <w:szCs w:val="28"/>
                  <w:rtl/>
                </w:rPr>
                <w:alias w:val="1573"/>
                <w:tag w:val="1573"/>
                <w:id w:val="-1487158446"/>
                <w:text w:multiLine="1"/>
              </w:sdtPr>
              <w:sdtEndPr/>
              <w:sdtContent>
                <w:r w:rsidRPr="0029302E">
                  <w:rPr>
                    <w:rFonts w:ascii="Narkisim" w:hAnsi="Narkisim" w:cs="Narkisim"/>
                    <w:b/>
                    <w:bCs/>
                    <w:sz w:val="28"/>
                    <w:szCs w:val="28"/>
                    <w:rtl/>
                  </w:rPr>
                  <w:t xml:space="preserve">י.  מושקוביץ </w:t>
                </w:r>
              </w:sdtContent>
            </w:sdt>
          </w:p>
          <w:p w:rsidR="005456EA" w:rsidRPr="0029302E" w:rsidRDefault="005456EA" w:rsidP="008618D5">
            <w:pPr>
              <w:suppressLineNumbers/>
              <w:rPr>
                <w:rFonts w:ascii="Narkisim" w:hAnsi="Narkisim" w:cs="Narkisim"/>
                <w:b/>
                <w:bCs/>
                <w:sz w:val="28"/>
                <w:szCs w:val="28"/>
              </w:rPr>
            </w:pPr>
          </w:p>
        </w:tc>
      </w:tr>
      <w:tr w:rsidR="005456EA" w:rsidRPr="00917D54" w:rsidTr="008618D5">
        <w:trPr>
          <w:jc w:val="center"/>
        </w:trPr>
        <w:tc>
          <w:tcPr>
            <w:tcW w:w="3249" w:type="dxa"/>
            <w:gridSpan w:val="2"/>
          </w:tcPr>
          <w:p w:rsidR="005456EA" w:rsidRPr="00917D54" w:rsidRDefault="005456EA" w:rsidP="008618D5">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5456EA" w:rsidRPr="00917D54" w:rsidRDefault="005456EA" w:rsidP="008618D5">
                <w:pPr>
                  <w:suppressLineNumbers/>
                  <w:rPr>
                    <w:rFonts w:ascii="Narkisim" w:hAnsi="Narkisim" w:cs="Narkisim"/>
                    <w:noProof w:val="0"/>
                    <w:sz w:val="28"/>
                    <w:szCs w:val="28"/>
                    <w:rtl/>
                  </w:rPr>
                </w:pPr>
                <w:r w:rsidRPr="00917D54">
                  <w:rPr>
                    <w:rFonts w:ascii="Narkisim" w:hAnsi="Narkisim" w:cs="Narkisim"/>
                    <w:noProof w:val="0"/>
                    <w:sz w:val="28"/>
                    <w:szCs w:val="28"/>
                    <w:rtl/>
                  </w:rPr>
                  <w:t>מערערת</w:t>
                </w:r>
              </w:p>
            </w:sdtContent>
          </w:sdt>
        </w:tc>
        <w:tc>
          <w:tcPr>
            <w:tcW w:w="5571" w:type="dxa"/>
          </w:tcPr>
          <w:p w:rsidR="005456EA" w:rsidRPr="00917D54" w:rsidRDefault="005456EA" w:rsidP="008618D5">
            <w:pPr>
              <w:suppressLineNumbers/>
              <w:rPr>
                <w:rFonts w:ascii="Narkisim" w:hAnsi="Narkisim" w:cs="Narkisim"/>
                <w:sz w:val="28"/>
                <w:szCs w:val="28"/>
                <w:rtl/>
              </w:rPr>
            </w:pPr>
          </w:p>
          <w:p w:rsidR="005456EA" w:rsidRPr="00917D54" w:rsidRDefault="005456EA" w:rsidP="008618D5">
            <w:pPr>
              <w:suppressLineNumbers/>
              <w:rPr>
                <w:rFonts w:ascii="Narkisim" w:hAnsi="Narkisim" w:cs="Narkisim"/>
                <w:sz w:val="28"/>
                <w:szCs w:val="28"/>
                <w:rtl/>
              </w:rPr>
            </w:pPr>
            <w:r w:rsidRPr="00917D54">
              <w:rPr>
                <w:rFonts w:ascii="Narkisim" w:hAnsi="Narkisim" w:cs="Narkisim"/>
                <w:sz w:val="28"/>
                <w:szCs w:val="28"/>
                <w:rtl/>
              </w:rPr>
              <w:t xml:space="preserve"> </w:t>
            </w:r>
            <w:sdt>
              <w:sdtPr>
                <w:rPr>
                  <w:rFonts w:ascii="Narkisim" w:hAnsi="Narkisim" w:cs="Narkisim"/>
                  <w:sz w:val="28"/>
                  <w:szCs w:val="28"/>
                  <w:rtl/>
                </w:rPr>
                <w:alias w:val="3151"/>
                <w:tag w:val="3151"/>
                <w:id w:val="1398553265"/>
                <w:placeholder>
                  <w:docPart w:val="816D6B5DE94B4D7EB3831162B12D7E3F"/>
                </w:placeholder>
                <w:text w:multiLine="1"/>
              </w:sdtPr>
              <w:sdtEndPr/>
              <w:sdtContent>
                <w:r w:rsidRPr="00917D54">
                  <w:rPr>
                    <w:rFonts w:ascii="Narkisim" w:hAnsi="Narkisim" w:cs="Narkisim"/>
                    <w:sz w:val="28"/>
                    <w:szCs w:val="28"/>
                    <w:rtl/>
                  </w:rPr>
                  <w:t>נ. ת.</w:t>
                </w:r>
              </w:sdtContent>
            </w:sdt>
            <w:r w:rsidRPr="00917D54">
              <w:rPr>
                <w:rFonts w:ascii="Narkisim" w:hAnsi="Narkisim" w:cs="Narkisim"/>
                <w:sz w:val="28"/>
                <w:szCs w:val="28"/>
                <w:rtl/>
              </w:rPr>
              <w:t xml:space="preserve"> </w:t>
            </w:r>
          </w:p>
          <w:p w:rsidR="005456EA" w:rsidRPr="00917D54" w:rsidRDefault="005456EA" w:rsidP="008618D5">
            <w:pPr>
              <w:suppressLineNumbers/>
              <w:rPr>
                <w:rFonts w:ascii="Narkisim" w:hAnsi="Narkisim" w:cs="Narkisim"/>
                <w:sz w:val="28"/>
                <w:szCs w:val="28"/>
              </w:rPr>
            </w:pPr>
            <w:r w:rsidRPr="00917D54">
              <w:rPr>
                <w:rFonts w:ascii="Narkisim" w:hAnsi="Narkisim" w:cs="Narkisim"/>
                <w:sz w:val="28"/>
                <w:szCs w:val="28"/>
                <w:rtl/>
              </w:rPr>
              <w:t xml:space="preserve"> ע"י ב"כ עוה"ד ברק קראוס</w:t>
            </w:r>
          </w:p>
        </w:tc>
      </w:tr>
      <w:tr w:rsidR="005456EA" w:rsidRPr="00917D54" w:rsidTr="008618D5">
        <w:trPr>
          <w:jc w:val="center"/>
        </w:trPr>
        <w:tc>
          <w:tcPr>
            <w:tcW w:w="8820" w:type="dxa"/>
            <w:gridSpan w:val="3"/>
          </w:tcPr>
          <w:p w:rsidR="005456EA" w:rsidRPr="00917D54" w:rsidRDefault="005456EA" w:rsidP="008618D5">
            <w:pPr>
              <w:suppressLineNumbers/>
              <w:rPr>
                <w:rFonts w:ascii="Narkisim" w:hAnsi="Narkisim" w:cs="Narkisim"/>
                <w:sz w:val="28"/>
                <w:szCs w:val="28"/>
                <w:rtl/>
              </w:rPr>
            </w:pPr>
          </w:p>
          <w:p w:rsidR="005456EA" w:rsidRPr="00917D54" w:rsidRDefault="005456EA" w:rsidP="008618D5">
            <w:pPr>
              <w:suppressLineNumbers/>
              <w:jc w:val="center"/>
              <w:rPr>
                <w:rFonts w:ascii="Narkisim" w:hAnsi="Narkisim" w:cs="Narkisim"/>
                <w:sz w:val="28"/>
                <w:szCs w:val="28"/>
                <w:rtl/>
              </w:rPr>
            </w:pPr>
            <w:r w:rsidRPr="00917D54">
              <w:rPr>
                <w:rFonts w:ascii="Narkisim" w:hAnsi="Narkisim" w:cs="Narkisim"/>
                <w:sz w:val="28"/>
                <w:szCs w:val="28"/>
                <w:rtl/>
              </w:rPr>
              <w:t>נגד</w:t>
            </w:r>
          </w:p>
          <w:p w:rsidR="005456EA" w:rsidRPr="00917D54" w:rsidRDefault="005456EA" w:rsidP="008618D5">
            <w:pPr>
              <w:suppressLineNumbers/>
              <w:rPr>
                <w:rFonts w:ascii="Narkisim" w:hAnsi="Narkisim" w:cs="Narkisim"/>
                <w:sz w:val="28"/>
                <w:szCs w:val="28"/>
              </w:rPr>
            </w:pPr>
          </w:p>
        </w:tc>
      </w:tr>
      <w:tr w:rsidR="005456EA" w:rsidRPr="00917D54" w:rsidTr="008618D5">
        <w:trPr>
          <w:jc w:val="center"/>
        </w:trPr>
        <w:tc>
          <w:tcPr>
            <w:tcW w:w="3249" w:type="dxa"/>
            <w:gridSpan w:val="2"/>
          </w:tcPr>
          <w:p w:rsidR="005456EA" w:rsidRPr="00917D54" w:rsidRDefault="00CA3670" w:rsidP="008618D5">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5456EA" w:rsidRPr="00917D54">
                  <w:rPr>
                    <w:rFonts w:ascii="Narkisim" w:hAnsi="Narkisim" w:cs="Narkisim"/>
                    <w:noProof w:val="0"/>
                    <w:sz w:val="28"/>
                    <w:szCs w:val="28"/>
                    <w:rtl/>
                  </w:rPr>
                  <w:t>משיבים</w:t>
                </w:r>
              </w:sdtContent>
            </w:sdt>
          </w:p>
        </w:tc>
        <w:tc>
          <w:tcPr>
            <w:tcW w:w="5571" w:type="dxa"/>
          </w:tcPr>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028836282"/>
                <w:text w:multiLine="1"/>
              </w:sdtPr>
              <w:sdtEndPr/>
              <w:sdtContent>
                <w:r w:rsidR="005456EA" w:rsidRPr="00917D54">
                  <w:rPr>
                    <w:rFonts w:ascii="Narkisim" w:hAnsi="Narkisim" w:cs="Narkisim"/>
                    <w:sz w:val="28"/>
                    <w:szCs w:val="28"/>
                    <w:rtl/>
                  </w:rPr>
                  <w:t>1</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1920052440"/>
                <w:placeholder>
                  <w:docPart w:val="8298B55DC5B244ECB822F92B324F8B2C"/>
                </w:placeholder>
                <w:text w:multiLine="1"/>
              </w:sdtPr>
              <w:sdtEndPr/>
              <w:sdtContent>
                <w:r w:rsidR="005456EA" w:rsidRPr="00917D54">
                  <w:rPr>
                    <w:rFonts w:ascii="Narkisim" w:hAnsi="Narkisim" w:cs="Narkisim"/>
                    <w:sz w:val="28"/>
                    <w:szCs w:val="28"/>
                    <w:rtl/>
                  </w:rPr>
                  <w:t xml:space="preserve">ג. י. </w:t>
                </w:r>
              </w:sdtContent>
            </w:sdt>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051376562"/>
                <w:text w:multiLine="1"/>
              </w:sdtPr>
              <w:sdtEndPr/>
              <w:sdtContent>
                <w:r w:rsidR="005456EA" w:rsidRPr="00917D54">
                  <w:rPr>
                    <w:rFonts w:ascii="Narkisim" w:hAnsi="Narkisim" w:cs="Narkisim"/>
                    <w:sz w:val="28"/>
                    <w:szCs w:val="28"/>
                    <w:rtl/>
                  </w:rPr>
                  <w:t>2</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1259132957"/>
                <w:placeholder>
                  <w:docPart w:val="8298B55DC5B244ECB822F92B324F8B2C"/>
                </w:placeholder>
                <w:text w:multiLine="1"/>
              </w:sdtPr>
              <w:sdtEndPr/>
              <w:sdtContent>
                <w:r w:rsidR="005456EA" w:rsidRPr="00917D54">
                  <w:rPr>
                    <w:rFonts w:ascii="Narkisim" w:hAnsi="Narkisim" w:cs="Narkisim"/>
                    <w:sz w:val="28"/>
                    <w:szCs w:val="28"/>
                    <w:rtl/>
                  </w:rPr>
                  <w:t xml:space="preserve">ל.  ב. ס.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447972334"/>
                <w:text w:multiLine="1"/>
              </w:sdtPr>
              <w:sdtEndPr/>
              <w:sdtContent>
                <w:r w:rsidR="005456EA" w:rsidRPr="00917D54">
                  <w:rPr>
                    <w:rFonts w:ascii="Narkisim" w:hAnsi="Narkisim" w:cs="Narkisim"/>
                    <w:sz w:val="28"/>
                    <w:szCs w:val="28"/>
                    <w:rtl/>
                  </w:rPr>
                  <w:t>3</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1183093675"/>
                <w:placeholder>
                  <w:docPart w:val="8298B55DC5B244ECB822F92B324F8B2C"/>
                </w:placeholder>
                <w:text w:multiLine="1"/>
              </w:sdtPr>
              <w:sdtEndPr/>
              <w:sdtContent>
                <w:r w:rsidR="005456EA" w:rsidRPr="00917D54">
                  <w:rPr>
                    <w:rFonts w:ascii="Narkisim" w:hAnsi="Narkisim" w:cs="Narkisim"/>
                    <w:sz w:val="28"/>
                    <w:szCs w:val="28"/>
                    <w:rtl/>
                  </w:rPr>
                  <w:t xml:space="preserve">ר. א.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42215871"/>
                <w:text w:multiLine="1"/>
              </w:sdtPr>
              <w:sdtEndPr/>
              <w:sdtContent>
                <w:r w:rsidR="005456EA" w:rsidRPr="00917D54">
                  <w:rPr>
                    <w:rFonts w:ascii="Narkisim" w:hAnsi="Narkisim" w:cs="Narkisim"/>
                    <w:sz w:val="28"/>
                    <w:szCs w:val="28"/>
                    <w:rtl/>
                  </w:rPr>
                  <w:t>4</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370894929"/>
                <w:placeholder>
                  <w:docPart w:val="8298B55DC5B244ECB822F92B324F8B2C"/>
                </w:placeholder>
                <w:text w:multiLine="1"/>
              </w:sdtPr>
              <w:sdtEndPr/>
              <w:sdtContent>
                <w:r w:rsidR="005456EA" w:rsidRPr="00917D54">
                  <w:rPr>
                    <w:rFonts w:ascii="Narkisim" w:hAnsi="Narkisim" w:cs="Narkisim"/>
                    <w:sz w:val="28"/>
                    <w:szCs w:val="28"/>
                    <w:rtl/>
                  </w:rPr>
                  <w:t xml:space="preserve">ש. כ.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576392021"/>
                <w:text w:multiLine="1"/>
              </w:sdtPr>
              <w:sdtEndPr/>
              <w:sdtContent>
                <w:r w:rsidR="005456EA" w:rsidRPr="00917D54">
                  <w:rPr>
                    <w:rFonts w:ascii="Narkisim" w:hAnsi="Narkisim" w:cs="Narkisim"/>
                    <w:sz w:val="28"/>
                    <w:szCs w:val="28"/>
                    <w:rtl/>
                  </w:rPr>
                  <w:t>5</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289861618"/>
                <w:placeholder>
                  <w:docPart w:val="8298B55DC5B244ECB822F92B324F8B2C"/>
                </w:placeholder>
                <w:text w:multiLine="1"/>
              </w:sdtPr>
              <w:sdtEndPr/>
              <w:sdtContent>
                <w:r w:rsidR="005456EA" w:rsidRPr="00917D54">
                  <w:rPr>
                    <w:rFonts w:ascii="Narkisim" w:hAnsi="Narkisim" w:cs="Narkisim"/>
                    <w:sz w:val="28"/>
                    <w:szCs w:val="28"/>
                    <w:rtl/>
                  </w:rPr>
                  <w:t xml:space="preserve">ד. ב.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344482351"/>
                <w:text w:multiLine="1"/>
              </w:sdtPr>
              <w:sdtEndPr/>
              <w:sdtContent>
                <w:r w:rsidR="005456EA" w:rsidRPr="00917D54">
                  <w:rPr>
                    <w:rFonts w:ascii="Narkisim" w:hAnsi="Narkisim" w:cs="Narkisim"/>
                    <w:sz w:val="28"/>
                    <w:szCs w:val="28"/>
                    <w:rtl/>
                  </w:rPr>
                  <w:t>6</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208959845"/>
                <w:placeholder>
                  <w:docPart w:val="8298B55DC5B244ECB822F92B324F8B2C"/>
                </w:placeholder>
                <w:text w:multiLine="1"/>
              </w:sdtPr>
              <w:sdtEndPr/>
              <w:sdtContent>
                <w:r w:rsidR="005456EA" w:rsidRPr="00917D54">
                  <w:rPr>
                    <w:rFonts w:ascii="Narkisim" w:hAnsi="Narkisim" w:cs="Narkisim"/>
                    <w:sz w:val="28"/>
                    <w:szCs w:val="28"/>
                    <w:rtl/>
                  </w:rPr>
                  <w:t xml:space="preserve">מ. ב.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692518826"/>
                <w:text w:multiLine="1"/>
              </w:sdtPr>
              <w:sdtEndPr/>
              <w:sdtContent>
                <w:r w:rsidR="005456EA" w:rsidRPr="00917D54">
                  <w:rPr>
                    <w:rFonts w:ascii="Narkisim" w:hAnsi="Narkisim" w:cs="Narkisim"/>
                    <w:sz w:val="28"/>
                    <w:szCs w:val="28"/>
                    <w:rtl/>
                  </w:rPr>
                  <w:t>7</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586548345"/>
                <w:placeholder>
                  <w:docPart w:val="8298B55DC5B244ECB822F92B324F8B2C"/>
                </w:placeholder>
                <w:text w:multiLine="1"/>
              </w:sdtPr>
              <w:sdtEndPr/>
              <w:sdtContent>
                <w:r w:rsidR="005456EA" w:rsidRPr="00917D54">
                  <w:rPr>
                    <w:rFonts w:ascii="Narkisim" w:hAnsi="Narkisim" w:cs="Narkisim"/>
                    <w:sz w:val="28"/>
                    <w:szCs w:val="28"/>
                    <w:rtl/>
                  </w:rPr>
                  <w:t xml:space="preserve">א. א. ת.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985891273"/>
                <w:text w:multiLine="1"/>
              </w:sdtPr>
              <w:sdtEndPr/>
              <w:sdtContent>
                <w:r w:rsidR="005456EA" w:rsidRPr="00917D54">
                  <w:rPr>
                    <w:rFonts w:ascii="Narkisim" w:hAnsi="Narkisim" w:cs="Narkisim"/>
                    <w:sz w:val="28"/>
                    <w:szCs w:val="28"/>
                    <w:rtl/>
                  </w:rPr>
                  <w:t>8</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2083329110"/>
                <w:placeholder>
                  <w:docPart w:val="8298B55DC5B244ECB822F92B324F8B2C"/>
                </w:placeholder>
                <w:text w:multiLine="1"/>
              </w:sdtPr>
              <w:sdtEndPr/>
              <w:sdtContent>
                <w:r w:rsidR="005456EA" w:rsidRPr="00917D54">
                  <w:rPr>
                    <w:rFonts w:ascii="Narkisim" w:hAnsi="Narkisim" w:cs="Narkisim"/>
                    <w:sz w:val="28"/>
                    <w:szCs w:val="28"/>
                    <w:rtl/>
                  </w:rPr>
                  <w:t>ג. ש.</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344055762"/>
                <w:text w:multiLine="1"/>
              </w:sdtPr>
              <w:sdtEndPr/>
              <w:sdtContent>
                <w:r w:rsidR="005456EA" w:rsidRPr="00917D54">
                  <w:rPr>
                    <w:rFonts w:ascii="Narkisim" w:hAnsi="Narkisim" w:cs="Narkisim"/>
                    <w:sz w:val="28"/>
                    <w:szCs w:val="28"/>
                    <w:rtl/>
                  </w:rPr>
                  <w:t>9</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1578975748"/>
                <w:placeholder>
                  <w:docPart w:val="8298B55DC5B244ECB822F92B324F8B2C"/>
                </w:placeholder>
                <w:text w:multiLine="1"/>
              </w:sdtPr>
              <w:sdtEndPr/>
              <w:sdtContent>
                <w:r w:rsidR="005456EA" w:rsidRPr="00917D54">
                  <w:rPr>
                    <w:rFonts w:ascii="Narkisim" w:hAnsi="Narkisim" w:cs="Narkisim"/>
                    <w:sz w:val="28"/>
                    <w:szCs w:val="28"/>
                    <w:rtl/>
                  </w:rPr>
                  <w:t xml:space="preserve">נ. פ.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801771936"/>
                <w:text w:multiLine="1"/>
              </w:sdtPr>
              <w:sdtEndPr/>
              <w:sdtContent>
                <w:r w:rsidR="005456EA" w:rsidRPr="00917D54">
                  <w:rPr>
                    <w:rFonts w:ascii="Narkisim" w:hAnsi="Narkisim" w:cs="Narkisim"/>
                    <w:sz w:val="28"/>
                    <w:szCs w:val="28"/>
                    <w:rtl/>
                  </w:rPr>
                  <w:t>10</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956331601"/>
                <w:placeholder>
                  <w:docPart w:val="8298B55DC5B244ECB822F92B324F8B2C"/>
                </w:placeholder>
                <w:text w:multiLine="1"/>
              </w:sdtPr>
              <w:sdtEndPr/>
              <w:sdtContent>
                <w:r w:rsidR="005456EA" w:rsidRPr="00917D54">
                  <w:rPr>
                    <w:rFonts w:ascii="Narkisim" w:hAnsi="Narkisim" w:cs="Narkisim"/>
                    <w:sz w:val="28"/>
                    <w:szCs w:val="28"/>
                    <w:rtl/>
                  </w:rPr>
                  <w:t xml:space="preserve">ה. ג.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1749410074"/>
                <w:text w:multiLine="1"/>
              </w:sdtPr>
              <w:sdtEndPr/>
              <w:sdtContent>
                <w:r w:rsidR="005456EA" w:rsidRPr="00917D54">
                  <w:rPr>
                    <w:rFonts w:ascii="Narkisim" w:hAnsi="Narkisim" w:cs="Narkisim"/>
                    <w:sz w:val="28"/>
                    <w:szCs w:val="28"/>
                    <w:rtl/>
                  </w:rPr>
                  <w:t>11</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1892235617"/>
                <w:placeholder>
                  <w:docPart w:val="8298B55DC5B244ECB822F92B324F8B2C"/>
                </w:placeholder>
                <w:text w:multiLine="1"/>
              </w:sdtPr>
              <w:sdtEndPr/>
              <w:sdtContent>
                <w:r w:rsidR="005456EA" w:rsidRPr="00917D54">
                  <w:rPr>
                    <w:rFonts w:ascii="Narkisim" w:hAnsi="Narkisim" w:cs="Narkisim"/>
                    <w:sz w:val="28"/>
                    <w:szCs w:val="28"/>
                    <w:rtl/>
                  </w:rPr>
                  <w:t xml:space="preserve">ק. י. </w:t>
                </w:r>
              </w:sdtContent>
            </w:sdt>
            <w:r w:rsidR="005456EA" w:rsidRPr="00917D54">
              <w:rPr>
                <w:rFonts w:ascii="Narkisim" w:hAnsi="Narkisim" w:cs="Narkisim"/>
                <w:sz w:val="28"/>
                <w:szCs w:val="28"/>
                <w:rtl/>
              </w:rPr>
              <w:t xml:space="preserve"> </w:t>
            </w:r>
          </w:p>
          <w:p w:rsidR="005456EA" w:rsidRPr="00917D54" w:rsidRDefault="00CA3670" w:rsidP="008618D5">
            <w:pPr>
              <w:suppressLineNumbers/>
              <w:rPr>
                <w:rFonts w:ascii="Narkisim" w:hAnsi="Narkisim" w:cs="Narkisim"/>
                <w:sz w:val="28"/>
                <w:szCs w:val="28"/>
                <w:rtl/>
              </w:rPr>
            </w:pPr>
            <w:sdt>
              <w:sdtPr>
                <w:rPr>
                  <w:rFonts w:ascii="Narkisim" w:hAnsi="Narkisim" w:cs="Narkisim"/>
                  <w:sz w:val="28"/>
                  <w:szCs w:val="28"/>
                  <w:rtl/>
                </w:rPr>
                <w:alias w:val="1571"/>
                <w:tag w:val="1571"/>
                <w:id w:val="410521701"/>
                <w:text w:multiLine="1"/>
              </w:sdtPr>
              <w:sdtEndPr/>
              <w:sdtContent>
                <w:r w:rsidR="005456EA" w:rsidRPr="00917D54">
                  <w:rPr>
                    <w:rFonts w:ascii="Narkisim" w:hAnsi="Narkisim" w:cs="Narkisim"/>
                    <w:sz w:val="28"/>
                    <w:szCs w:val="28"/>
                    <w:rtl/>
                  </w:rPr>
                  <w:t>12</w:t>
                </w:r>
              </w:sdtContent>
            </w:sdt>
            <w:r w:rsidR="005456EA" w:rsidRPr="00917D54">
              <w:rPr>
                <w:rFonts w:ascii="Narkisim" w:hAnsi="Narkisim" w:cs="Narkisim"/>
                <w:sz w:val="28"/>
                <w:szCs w:val="28"/>
                <w:rtl/>
              </w:rPr>
              <w:t xml:space="preserve">. </w:t>
            </w:r>
            <w:sdt>
              <w:sdtPr>
                <w:rPr>
                  <w:rFonts w:ascii="Narkisim" w:hAnsi="Narkisim" w:cs="Narkisim"/>
                  <w:sz w:val="28"/>
                  <w:szCs w:val="28"/>
                  <w:rtl/>
                </w:rPr>
                <w:alias w:val="3152"/>
                <w:tag w:val="3152"/>
                <w:id w:val="1242454231"/>
                <w:placeholder>
                  <w:docPart w:val="8298B55DC5B244ECB822F92B324F8B2C"/>
                </w:placeholder>
                <w:text w:multiLine="1"/>
              </w:sdtPr>
              <w:sdtEndPr/>
              <w:sdtContent>
                <w:r w:rsidR="005456EA" w:rsidRPr="00917D54">
                  <w:rPr>
                    <w:rFonts w:ascii="Narkisim" w:hAnsi="Narkisim" w:cs="Narkisim"/>
                    <w:sz w:val="28"/>
                    <w:szCs w:val="28"/>
                    <w:rtl/>
                  </w:rPr>
                  <w:t xml:space="preserve">ע.  י. מ. </w:t>
                </w:r>
                <w:r w:rsidR="005456EA" w:rsidRPr="00917D54">
                  <w:rPr>
                    <w:rFonts w:ascii="Narkisim" w:hAnsi="Narkisim" w:cs="Narkisim"/>
                    <w:sz w:val="28"/>
                    <w:szCs w:val="28"/>
                    <w:rtl/>
                  </w:rPr>
                  <w:br/>
                  <w:t>ע"י ב"כ עוה"ד א. וינריב</w:t>
                </w:r>
              </w:sdtContent>
            </w:sdt>
            <w:r w:rsidR="005456EA" w:rsidRPr="00917D54">
              <w:rPr>
                <w:rFonts w:ascii="Narkisim" w:hAnsi="Narkisim" w:cs="Narkisim"/>
                <w:sz w:val="28"/>
                <w:szCs w:val="28"/>
                <w:rtl/>
              </w:rPr>
              <w:t xml:space="preserve"> </w:t>
            </w:r>
          </w:p>
        </w:tc>
      </w:tr>
    </w:tbl>
    <w:p w:rsidR="005456EA" w:rsidRDefault="005456EA" w:rsidP="005456EA">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456EA" w:rsidRPr="00DE1E7D" w:rsidTr="008618D5">
        <w:trPr>
          <w:jc w:val="center"/>
        </w:trPr>
        <w:tc>
          <w:tcPr>
            <w:tcW w:w="8820" w:type="dxa"/>
          </w:tcPr>
          <w:p w:rsidR="005456EA" w:rsidRPr="00917D54" w:rsidRDefault="005456EA" w:rsidP="008618D5">
            <w:pPr>
              <w:bidi w:val="0"/>
              <w:jc w:val="center"/>
              <w:rPr>
                <w:rFonts w:ascii="Arial" w:hAnsi="Arial"/>
                <w:b/>
                <w:bCs/>
                <w:noProof w:val="0"/>
                <w:sz w:val="32"/>
                <w:szCs w:val="32"/>
                <w:u w:val="single"/>
                <w:rtl/>
              </w:rPr>
            </w:pPr>
            <w:r w:rsidRPr="00917D54">
              <w:rPr>
                <w:rFonts w:ascii="Arial" w:hAnsi="Arial" w:hint="cs"/>
                <w:b/>
                <w:bCs/>
                <w:noProof w:val="0"/>
                <w:sz w:val="32"/>
                <w:szCs w:val="32"/>
                <w:u w:val="single"/>
                <w:rtl/>
              </w:rPr>
              <w:t>פסק דין</w:t>
            </w:r>
          </w:p>
          <w:p w:rsidR="005456EA" w:rsidRPr="00D44968" w:rsidRDefault="005456EA" w:rsidP="008618D5">
            <w:pPr>
              <w:bidi w:val="0"/>
              <w:jc w:val="center"/>
              <w:rPr>
                <w:rFonts w:ascii="Arial" w:hAnsi="Arial"/>
                <w:b/>
                <w:bCs/>
                <w:noProof w:val="0"/>
                <w:sz w:val="28"/>
                <w:szCs w:val="28"/>
                <w:u w:val="single"/>
              </w:rPr>
            </w:pPr>
          </w:p>
        </w:tc>
      </w:tr>
    </w:tbl>
    <w:p w:rsidR="005456EA" w:rsidRDefault="005456EA" w:rsidP="005456EA">
      <w:pPr>
        <w:spacing w:line="360" w:lineRule="auto"/>
        <w:ind w:left="84"/>
        <w:contextualSpacing/>
        <w:jc w:val="both"/>
        <w:rPr>
          <w:rFonts w:ascii="Narkisim" w:hAnsi="Narkisim" w:cs="Narkisim"/>
          <w:sz w:val="28"/>
          <w:szCs w:val="28"/>
        </w:rPr>
      </w:pPr>
      <w:bookmarkStart w:id="1" w:name="NGCSBookmark"/>
      <w:bookmarkEnd w:id="1"/>
      <w:r>
        <w:rPr>
          <w:rFonts w:ascii="Narkisim" w:hAnsi="Narkisim" w:cs="Narkisim"/>
          <w:sz w:val="28"/>
          <w:szCs w:val="28"/>
          <w:rtl/>
        </w:rPr>
        <w:t xml:space="preserve">ערעור על פסק דינו של בית המשפט לענייני משפחה בכפר סבא (כב' הש' </w:t>
      </w:r>
      <w:r>
        <w:rPr>
          <w:rFonts w:ascii="Miriam" w:hAnsi="Miriam" w:cs="Miriam"/>
          <w:rtl/>
        </w:rPr>
        <w:t>א. וינקרט</w:t>
      </w:r>
      <w:r>
        <w:rPr>
          <w:rFonts w:ascii="Narkisim" w:hAnsi="Narkisim" w:cs="Narkisim"/>
          <w:sz w:val="28"/>
          <w:szCs w:val="28"/>
          <w:rtl/>
        </w:rPr>
        <w:t xml:space="preserve">) מיום 19.6.24, במסגרתו נדחתה על הסף מחמת התיישנות תביעת המערערת להצהיר כי יש להחיל את חזקת בשיתוף במערכת היחסים שבין הוריהם המנוחים של הצדדים, ובכלל זה ביחס למקרקעין באור יהודה הרשומים על שם אביהם המנוח בלבד.    </w:t>
      </w:r>
    </w:p>
    <w:p w:rsidR="005456EA" w:rsidRDefault="005456EA" w:rsidP="005456EA">
      <w:pPr>
        <w:spacing w:line="360" w:lineRule="auto"/>
        <w:jc w:val="both"/>
        <w:rPr>
          <w:rFonts w:ascii="Narkisim" w:hAnsi="Narkisim" w:cs="Narkisim"/>
          <w:noProof w:val="0"/>
          <w:sz w:val="28"/>
          <w:szCs w:val="28"/>
        </w:rPr>
      </w:pPr>
    </w:p>
    <w:p w:rsidR="005456EA" w:rsidRDefault="005456EA" w:rsidP="005456EA">
      <w:pPr>
        <w:spacing w:line="360" w:lineRule="auto"/>
        <w:jc w:val="both"/>
        <w:rPr>
          <w:rFonts w:ascii="Miriam" w:hAnsi="Miriam" w:cs="Miriam"/>
          <w:noProof w:val="0"/>
          <w:rtl/>
        </w:rPr>
      </w:pPr>
      <w:r>
        <w:rPr>
          <w:rFonts w:ascii="Miriam" w:hAnsi="Miriam" w:cs="Miriam"/>
          <w:noProof w:val="0"/>
          <w:rtl/>
        </w:rPr>
        <w:t xml:space="preserve">הנדרש לנדון </w:t>
      </w:r>
    </w:p>
    <w:p w:rsidR="005456EA" w:rsidRDefault="005456EA" w:rsidP="005456EA">
      <w:pPr>
        <w:spacing w:line="360" w:lineRule="auto"/>
        <w:jc w:val="both"/>
        <w:rPr>
          <w:rFonts w:ascii="Miriam" w:hAnsi="Miriam" w:cs="Miriam"/>
          <w:noProof w:val="0"/>
          <w:rtl/>
        </w:rPr>
      </w:pPr>
    </w:p>
    <w:p w:rsidR="005456EA" w:rsidRDefault="005456EA" w:rsidP="005456EA">
      <w:pPr>
        <w:pStyle w:val="Ruller4"/>
        <w:numPr>
          <w:ilvl w:val="0"/>
          <w:numId w:val="1"/>
        </w:numPr>
        <w:tabs>
          <w:tab w:val="left" w:pos="-58"/>
          <w:tab w:val="left" w:pos="85"/>
        </w:tabs>
        <w:ind w:left="84" w:firstLine="0"/>
        <w:contextualSpacing/>
        <w:rPr>
          <w:rFonts w:ascii="Narkisim" w:hAnsi="Narkisim" w:cs="Narkisim"/>
          <w:sz w:val="28"/>
          <w:rtl/>
        </w:rPr>
      </w:pPr>
      <w:bookmarkStart w:id="2" w:name="ABSTRACT_END"/>
      <w:bookmarkEnd w:id="2"/>
      <w:r>
        <w:rPr>
          <w:rFonts w:ascii="Narkisim" w:hAnsi="Narkisim" w:cs="Narkisim"/>
          <w:sz w:val="28"/>
          <w:rtl/>
        </w:rPr>
        <w:lastRenderedPageBreak/>
        <w:t xml:space="preserve">המנוחים א. ת. ז"ל וג. ת. ז"ל (להלן – </w:t>
      </w:r>
      <w:r>
        <w:rPr>
          <w:rFonts w:ascii="Miriam" w:hAnsi="Miriam" w:cs="Miriam"/>
          <w:szCs w:val="24"/>
          <w:rtl/>
        </w:rPr>
        <w:t>המנוחים</w:t>
      </w:r>
      <w:r>
        <w:rPr>
          <w:rFonts w:ascii="Narkisim" w:hAnsi="Narkisim" w:cs="Narkisim"/>
          <w:sz w:val="28"/>
          <w:rtl/>
        </w:rPr>
        <w:t xml:space="preserve"> או </w:t>
      </w:r>
      <w:r>
        <w:rPr>
          <w:rFonts w:ascii="Miriam" w:hAnsi="Miriam" w:cs="Miriam"/>
          <w:szCs w:val="24"/>
          <w:rtl/>
        </w:rPr>
        <w:t>המנוח</w:t>
      </w:r>
      <w:r>
        <w:rPr>
          <w:rFonts w:ascii="Narkisim" w:hAnsi="Narkisim" w:cs="Narkisim"/>
          <w:sz w:val="28"/>
          <w:rtl/>
        </w:rPr>
        <w:t xml:space="preserve"> או </w:t>
      </w:r>
      <w:r>
        <w:rPr>
          <w:rFonts w:ascii="Miriam" w:hAnsi="Miriam" w:cs="Miriam"/>
          <w:szCs w:val="24"/>
          <w:rtl/>
        </w:rPr>
        <w:t>המנוחה</w:t>
      </w:r>
      <w:r>
        <w:rPr>
          <w:rFonts w:ascii="Narkisim" w:hAnsi="Narkisim" w:cs="Narkisim"/>
          <w:sz w:val="28"/>
          <w:rtl/>
        </w:rPr>
        <w:t xml:space="preserve"> לפי העניין) נישאו כדמו"י בשנות ה-40 בלוב והיו נשואים במשך</w:t>
      </w:r>
      <w:r>
        <w:rPr>
          <w:rFonts w:ascii="Narkisim" w:hAnsi="Narkisim" w:cs="Narkisim" w:hint="cs"/>
          <w:sz w:val="28"/>
          <w:rtl/>
        </w:rPr>
        <w:t xml:space="preserve"> כ- </w:t>
      </w:r>
      <w:r>
        <w:rPr>
          <w:rFonts w:ascii="Narkisim" w:hAnsi="Narkisim" w:cs="Narkisim"/>
          <w:sz w:val="28"/>
          <w:rtl/>
        </w:rPr>
        <w:t xml:space="preserve"> 50 שנה. מנישואים אלה נולדו תשעה ילדים שהינם הצדדים לתובענה זו, יחד עם יורשים נוספים שנכנסו לנעליהם.</w:t>
      </w:r>
    </w:p>
    <w:p w:rsidR="005456EA" w:rsidRDefault="005456EA" w:rsidP="005456EA">
      <w:pPr>
        <w:pStyle w:val="Ruller4"/>
        <w:tabs>
          <w:tab w:val="left" w:pos="-58"/>
          <w:tab w:val="left" w:pos="85"/>
        </w:tabs>
        <w:ind w:left="84"/>
        <w:contextualSpacing/>
        <w:rPr>
          <w:rFonts w:ascii="Narkisim" w:hAnsi="Narkisim" w:cs="Narkisim"/>
          <w:sz w:val="28"/>
        </w:rPr>
      </w:pPr>
      <w:r>
        <w:rPr>
          <w:rFonts w:ascii="Narkisim" w:hAnsi="Narkisim" w:cs="Narkisim"/>
          <w:sz w:val="28"/>
          <w:rtl/>
        </w:rPr>
        <w:t xml:space="preserve">המנוח נפטר ביום </w:t>
      </w:r>
      <w:r>
        <w:rPr>
          <w:rFonts w:ascii="Narkisim" w:hAnsi="Narkisim" w:cs="Narkisim"/>
          <w:sz w:val="28"/>
          <w:highlight w:val="lightGray"/>
          <w:rtl/>
        </w:rPr>
        <w:t>27.1.92</w:t>
      </w:r>
      <w:r>
        <w:rPr>
          <w:rFonts w:ascii="Narkisim" w:hAnsi="Narkisim" w:cs="Narkisim"/>
          <w:sz w:val="28"/>
          <w:rtl/>
        </w:rPr>
        <w:t xml:space="preserve"> ואילו המנוחה נפטרה ביום </w:t>
      </w:r>
      <w:r>
        <w:rPr>
          <w:rFonts w:ascii="Narkisim" w:hAnsi="Narkisim" w:cs="Narkisim"/>
          <w:sz w:val="28"/>
          <w:highlight w:val="lightGray"/>
          <w:rtl/>
        </w:rPr>
        <w:t>10.5.19</w:t>
      </w:r>
      <w:r>
        <w:rPr>
          <w:rFonts w:ascii="Narkisim" w:hAnsi="Narkisim" w:cs="Narkisim"/>
          <w:sz w:val="28"/>
          <w:rtl/>
        </w:rPr>
        <w:t xml:space="preserve">.  </w:t>
      </w:r>
    </w:p>
    <w:p w:rsidR="005456EA" w:rsidRDefault="005456EA" w:rsidP="005456EA">
      <w:pPr>
        <w:pStyle w:val="Ruller4"/>
        <w:tabs>
          <w:tab w:val="left" w:pos="-58"/>
          <w:tab w:val="left" w:pos="85"/>
        </w:tabs>
        <w:ind w:left="84"/>
        <w:contextualSpacing/>
        <w:rPr>
          <w:rFonts w:ascii="Narkisim" w:hAnsi="Narkisim" w:cs="Narkisim"/>
          <w:sz w:val="28"/>
          <w:rtl/>
        </w:rPr>
      </w:pPr>
    </w:p>
    <w:p w:rsidR="005456EA" w:rsidRDefault="005456EA" w:rsidP="005456EA">
      <w:pPr>
        <w:pStyle w:val="Ruller4"/>
        <w:numPr>
          <w:ilvl w:val="0"/>
          <w:numId w:val="1"/>
        </w:numPr>
        <w:tabs>
          <w:tab w:val="left" w:pos="84"/>
        </w:tabs>
        <w:ind w:left="84" w:firstLine="0"/>
        <w:contextualSpacing/>
        <w:rPr>
          <w:rFonts w:ascii="Narkisim" w:hAnsi="Narkisim" w:cs="Narkisim"/>
          <w:sz w:val="28"/>
          <w:rtl/>
        </w:rPr>
      </w:pPr>
      <w:r>
        <w:rPr>
          <w:rFonts w:ascii="Narkisim" w:hAnsi="Narkisim" w:cs="Narkisim"/>
          <w:sz w:val="28"/>
          <w:rtl/>
        </w:rPr>
        <w:t xml:space="preserve">המנוחים התגוררו מיום עלייתם ארצה ועד לפטירתם בדירה הנמצאת על מגרש רחב ידיים באור יהודה (להלן – </w:t>
      </w:r>
      <w:r>
        <w:rPr>
          <w:rFonts w:ascii="Miriam" w:hAnsi="Miriam" w:cs="Miriam"/>
          <w:szCs w:val="24"/>
          <w:rtl/>
        </w:rPr>
        <w:t>המקרקעין</w:t>
      </w:r>
      <w:r>
        <w:rPr>
          <w:rFonts w:ascii="Narkisim" w:hAnsi="Narkisim" w:cs="Narkisim"/>
          <w:sz w:val="28"/>
          <w:rtl/>
        </w:rPr>
        <w:t xml:space="preserve"> או </w:t>
      </w:r>
      <w:r>
        <w:rPr>
          <w:rFonts w:ascii="Miriam" w:hAnsi="Miriam" w:cs="Miriam"/>
          <w:szCs w:val="24"/>
          <w:rtl/>
        </w:rPr>
        <w:t>הדירה</w:t>
      </w:r>
      <w:r>
        <w:rPr>
          <w:rFonts w:ascii="Narkisim" w:hAnsi="Narkisim" w:cs="Narkisim"/>
          <w:sz w:val="28"/>
          <w:rtl/>
        </w:rPr>
        <w:t xml:space="preserve"> על פי העניין).</w:t>
      </w:r>
    </w:p>
    <w:p w:rsidR="005456EA" w:rsidRDefault="005456EA" w:rsidP="005456EA">
      <w:pPr>
        <w:pStyle w:val="a4"/>
        <w:rPr>
          <w:rFonts w:ascii="Narkisim" w:hAnsi="Narkisim" w:cs="Narkisim"/>
          <w:sz w:val="28"/>
        </w:rPr>
      </w:pPr>
    </w:p>
    <w:p w:rsidR="005456EA" w:rsidRDefault="005456EA" w:rsidP="005456EA">
      <w:pPr>
        <w:pStyle w:val="Ruller4"/>
        <w:tabs>
          <w:tab w:val="left" w:pos="84"/>
        </w:tabs>
        <w:ind w:left="84"/>
        <w:contextualSpacing/>
        <w:rPr>
          <w:rFonts w:ascii="Narkisim" w:hAnsi="Narkisim" w:cs="Narkisim"/>
          <w:sz w:val="28"/>
          <w:rtl/>
        </w:rPr>
      </w:pPr>
      <w:r>
        <w:rPr>
          <w:rFonts w:ascii="Narkisim" w:hAnsi="Narkisim" w:cs="Narkisim"/>
          <w:sz w:val="28"/>
          <w:rtl/>
        </w:rPr>
        <w:t>הזכויות במקרקעין נרשמו אצל רמ"י על שם המנוח בלבד.</w:t>
      </w:r>
    </w:p>
    <w:p w:rsidR="005456EA" w:rsidRDefault="005456EA" w:rsidP="005456EA">
      <w:pPr>
        <w:pStyle w:val="Ruller4"/>
        <w:tabs>
          <w:tab w:val="left" w:pos="-58"/>
          <w:tab w:val="left" w:pos="85"/>
        </w:tabs>
        <w:ind w:left="84"/>
        <w:contextualSpacing/>
        <w:rPr>
          <w:rFonts w:ascii="Narkisim" w:hAnsi="Narkisim" w:cs="Narkisim"/>
          <w:sz w:val="28"/>
        </w:rPr>
      </w:pPr>
    </w:p>
    <w:p w:rsidR="005456EA" w:rsidRDefault="005456EA" w:rsidP="005456EA">
      <w:pPr>
        <w:pStyle w:val="Ruller4"/>
        <w:numPr>
          <w:ilvl w:val="0"/>
          <w:numId w:val="1"/>
        </w:numPr>
        <w:tabs>
          <w:tab w:val="left" w:pos="-58"/>
          <w:tab w:val="left" w:pos="85"/>
        </w:tabs>
        <w:ind w:left="84" w:firstLine="0"/>
        <w:contextualSpacing/>
        <w:rPr>
          <w:rFonts w:ascii="Narkisim" w:hAnsi="Narkisim" w:cs="Narkisim"/>
          <w:sz w:val="28"/>
          <w:rtl/>
        </w:rPr>
      </w:pPr>
      <w:r>
        <w:rPr>
          <w:rFonts w:ascii="Narkisim" w:hAnsi="Narkisim" w:cs="Narkisim"/>
          <w:sz w:val="28"/>
          <w:rtl/>
        </w:rPr>
        <w:t xml:space="preserve">אחר המנוח הוצא ביום </w:t>
      </w:r>
      <w:r>
        <w:rPr>
          <w:rFonts w:ascii="Narkisim" w:hAnsi="Narkisim" w:cs="Narkisim"/>
          <w:sz w:val="28"/>
          <w:highlight w:val="lightGray"/>
          <w:rtl/>
        </w:rPr>
        <w:t>9.3.22</w:t>
      </w:r>
      <w:r>
        <w:rPr>
          <w:rFonts w:ascii="Narkisim" w:hAnsi="Narkisim" w:cs="Narkisim"/>
          <w:sz w:val="28"/>
          <w:rtl/>
        </w:rPr>
        <w:t xml:space="preserve"> צו ירושה לפיו זוכה המנוחה במחצית המקרקעין ובמחצית האחרת חולקים שאר היורשים. אחר המנוחה ניתן צו לקיום צוואתה מיום </w:t>
      </w:r>
      <w:r>
        <w:rPr>
          <w:rFonts w:ascii="Narkisim" w:hAnsi="Narkisim" w:cs="Narkisim"/>
          <w:sz w:val="28"/>
          <w:highlight w:val="lightGray"/>
          <w:rtl/>
        </w:rPr>
        <w:t xml:space="preserve"> 6.11.14</w:t>
      </w:r>
      <w:r>
        <w:rPr>
          <w:rFonts w:ascii="Narkisim" w:hAnsi="Narkisim" w:cs="Narkisim"/>
          <w:sz w:val="28"/>
          <w:rtl/>
        </w:rPr>
        <w:t>. בצו</w:t>
      </w:r>
      <w:r>
        <w:rPr>
          <w:rFonts w:ascii="Narkisim" w:hAnsi="Narkisim" w:cs="Narkisim" w:hint="cs"/>
          <w:sz w:val="28"/>
          <w:rtl/>
        </w:rPr>
        <w:t>ו</w:t>
      </w:r>
      <w:r>
        <w:rPr>
          <w:rFonts w:ascii="Narkisim" w:hAnsi="Narkisim" w:cs="Narkisim"/>
          <w:sz w:val="28"/>
          <w:rtl/>
        </w:rPr>
        <w:t>אתה הורישה המנוחה למערערת את כלל רכושה לרבות זכויותיה בדירה (יוער כי המנוחה ערכה צוואה נוספת בשנת 2005 אשר אף בה ציוותה את רכושה למערערת).</w:t>
      </w:r>
    </w:p>
    <w:p w:rsidR="005456EA" w:rsidRDefault="005456EA" w:rsidP="005456EA">
      <w:pPr>
        <w:pStyle w:val="Ruller4"/>
        <w:tabs>
          <w:tab w:val="left" w:pos="-58"/>
          <w:tab w:val="left" w:pos="85"/>
        </w:tabs>
        <w:ind w:left="84"/>
        <w:contextualSpacing/>
        <w:rPr>
          <w:rFonts w:ascii="Narkisim" w:hAnsi="Narkisim" w:cs="Narkisim"/>
          <w:sz w:val="28"/>
        </w:rPr>
      </w:pPr>
      <w:r>
        <w:rPr>
          <w:rFonts w:ascii="Narkisim" w:hAnsi="Narkisim" w:cs="Narkisim"/>
          <w:sz w:val="28"/>
          <w:rtl/>
        </w:rPr>
        <w:t xml:space="preserve"> </w:t>
      </w:r>
    </w:p>
    <w:p w:rsidR="005456EA" w:rsidRDefault="005456EA" w:rsidP="005456EA">
      <w:pPr>
        <w:pStyle w:val="Ruller4"/>
        <w:tabs>
          <w:tab w:val="left" w:pos="-58"/>
          <w:tab w:val="left" w:pos="85"/>
        </w:tabs>
        <w:ind w:left="84"/>
        <w:contextualSpacing/>
        <w:rPr>
          <w:rFonts w:ascii="Narkisim" w:hAnsi="Narkisim" w:cs="Narkisim"/>
          <w:sz w:val="28"/>
        </w:rPr>
      </w:pPr>
      <w:r>
        <w:rPr>
          <w:rFonts w:ascii="Narkisim" w:hAnsi="Narkisim" w:cs="Narkisim"/>
          <w:sz w:val="28"/>
          <w:rtl/>
        </w:rPr>
        <w:lastRenderedPageBreak/>
        <w:t xml:space="preserve">בחודש </w:t>
      </w:r>
      <w:r>
        <w:rPr>
          <w:rFonts w:ascii="Narkisim" w:hAnsi="Narkisim" w:cs="Narkisim"/>
          <w:sz w:val="28"/>
          <w:highlight w:val="lightGray"/>
          <w:rtl/>
        </w:rPr>
        <w:t>יוני 2020</w:t>
      </w:r>
      <w:r>
        <w:rPr>
          <w:rFonts w:ascii="Narkisim" w:hAnsi="Narkisim" w:cs="Narkisim"/>
          <w:sz w:val="28"/>
          <w:rtl/>
        </w:rPr>
        <w:t xml:space="preserve"> הגישו המשיבים תביעה לביטול צו קיום הצוואה -  ההליכים ביחס לתביעה זו מעוכבים (ת"ע 10753-06-20). </w:t>
      </w:r>
    </w:p>
    <w:p w:rsidR="005456EA" w:rsidRDefault="005456EA" w:rsidP="005456EA">
      <w:pPr>
        <w:pStyle w:val="Ruller4"/>
        <w:tabs>
          <w:tab w:val="left" w:pos="-58"/>
          <w:tab w:val="left" w:pos="85"/>
        </w:tabs>
        <w:ind w:left="84"/>
        <w:contextualSpacing/>
        <w:rPr>
          <w:rFonts w:ascii="Narkisim" w:hAnsi="Narkisim" w:cs="Narkisim"/>
          <w:sz w:val="28"/>
          <w:rtl/>
        </w:rPr>
      </w:pPr>
    </w:p>
    <w:p w:rsidR="005456EA" w:rsidRDefault="005456EA" w:rsidP="005456EA">
      <w:pPr>
        <w:pStyle w:val="Ruller4"/>
        <w:tabs>
          <w:tab w:val="left" w:pos="-58"/>
          <w:tab w:val="left" w:pos="85"/>
        </w:tabs>
        <w:ind w:left="84"/>
        <w:contextualSpacing/>
        <w:rPr>
          <w:rFonts w:ascii="Narkisim" w:hAnsi="Narkisim" w:cs="Narkisim"/>
          <w:sz w:val="28"/>
          <w:rtl/>
        </w:rPr>
      </w:pPr>
      <w:r>
        <w:rPr>
          <w:rFonts w:ascii="Narkisim" w:hAnsi="Narkisim" w:cs="Narkisim"/>
          <w:sz w:val="28"/>
          <w:rtl/>
        </w:rPr>
        <w:t>עוד נציין כי המשיבים הוסיפו והגישו תביעה לפירוק השיתוף במקרקעין,  סילוק ידה של המערערת מהמקרקעין (שכן היא מתגוררת בדירה) ותשלום דמי שימוש ראויים על ידה (תמ"ש 22372-11-21).</w:t>
      </w:r>
    </w:p>
    <w:p w:rsidR="005456EA" w:rsidRDefault="005456EA" w:rsidP="005456EA">
      <w:pPr>
        <w:pStyle w:val="a4"/>
        <w:rPr>
          <w:rFonts w:ascii="Narkisim" w:hAnsi="Narkisim" w:cs="Narkisim"/>
          <w:sz w:val="28"/>
          <w:szCs w:val="28"/>
          <w:rtl/>
        </w:rPr>
      </w:pPr>
    </w:p>
    <w:p w:rsidR="005456EA" w:rsidRDefault="005456EA" w:rsidP="005456EA">
      <w:pPr>
        <w:pStyle w:val="Ruller4"/>
        <w:numPr>
          <w:ilvl w:val="0"/>
          <w:numId w:val="1"/>
        </w:numPr>
        <w:tabs>
          <w:tab w:val="left" w:pos="85"/>
        </w:tabs>
        <w:ind w:left="84" w:firstLine="0"/>
        <w:contextualSpacing/>
        <w:rPr>
          <w:rFonts w:ascii="Narkisim" w:hAnsi="Narkisim" w:cs="Narkisim"/>
          <w:sz w:val="28"/>
          <w:rtl/>
        </w:rPr>
      </w:pPr>
      <w:r>
        <w:rPr>
          <w:rFonts w:ascii="Narkisim" w:hAnsi="Narkisim" w:cs="Narkisim"/>
          <w:sz w:val="28"/>
          <w:rtl/>
        </w:rPr>
        <w:t xml:space="preserve">ביום </w:t>
      </w:r>
      <w:r>
        <w:rPr>
          <w:rFonts w:ascii="Narkisim" w:hAnsi="Narkisim" w:cs="Narkisim"/>
          <w:sz w:val="28"/>
          <w:highlight w:val="lightGray"/>
          <w:rtl/>
        </w:rPr>
        <w:t>31.1.22</w:t>
      </w:r>
      <w:r>
        <w:rPr>
          <w:rFonts w:ascii="Narkisim" w:hAnsi="Narkisim" w:cs="Narkisim"/>
          <w:sz w:val="28"/>
          <w:rtl/>
        </w:rPr>
        <w:t xml:space="preserve"> עתרה המערערת, בתם של המנוחים, לקבלת סעד הצהרתי  לפיו המנוחה הייתה זכאית למחצית מזכויות הדירה מכוח חזקת השיתוף זאת בנוסף לחלקה בדירה על פי צו הירושה שהוצא אחר המנוח, וזאת בהינתן שהמנוחים התגוררו בדירה משך עשרות שנים וחיו בשיתוף מלא ובהרמוניה וראו בדירה כרכוש משותף.  </w:t>
      </w:r>
      <w:r>
        <w:rPr>
          <w:rFonts w:ascii="Narkisim" w:hAnsi="Narkisim" w:cs="Narkisim" w:hint="cs"/>
          <w:sz w:val="28"/>
          <w:rtl/>
        </w:rPr>
        <w:t xml:space="preserve">העילה להגשת תביעה זו ברורה </w:t>
      </w:r>
      <w:r>
        <w:rPr>
          <w:rFonts w:ascii="Narkisim" w:hAnsi="Narkisim" w:cs="Narkisim"/>
          <w:sz w:val="28"/>
          <w:rtl/>
        </w:rPr>
        <w:t>–</w:t>
      </w:r>
      <w:r>
        <w:rPr>
          <w:rFonts w:ascii="Narkisim" w:hAnsi="Narkisim" w:cs="Narkisim" w:hint="cs"/>
          <w:sz w:val="28"/>
          <w:rtl/>
        </w:rPr>
        <w:t xml:space="preserve"> ככל שימצא כי בין המנוחים חלה חזקת השיתוף ממילא חלק המנוחה בזכויות במקרקעין יגדל ואלו יעברו לידי המערערת מכוח צוואתה.  </w:t>
      </w:r>
    </w:p>
    <w:p w:rsidR="005456EA" w:rsidRDefault="005456EA" w:rsidP="005456EA">
      <w:pPr>
        <w:pStyle w:val="Ruller4"/>
        <w:tabs>
          <w:tab w:val="left" w:pos="85"/>
          <w:tab w:val="left" w:pos="652"/>
        </w:tabs>
        <w:rPr>
          <w:rFonts w:ascii="Narkisim" w:hAnsi="Narkisim" w:cs="Narkisim"/>
          <w:sz w:val="28"/>
        </w:rPr>
      </w:pPr>
    </w:p>
    <w:p w:rsidR="005456EA" w:rsidRDefault="005456EA" w:rsidP="005456EA">
      <w:pPr>
        <w:pStyle w:val="Ruller4"/>
        <w:numPr>
          <w:ilvl w:val="0"/>
          <w:numId w:val="1"/>
        </w:numPr>
        <w:tabs>
          <w:tab w:val="left" w:pos="85"/>
        </w:tabs>
        <w:ind w:left="84" w:firstLine="0"/>
        <w:contextualSpacing/>
        <w:rPr>
          <w:rFonts w:ascii="Narkisim" w:hAnsi="Narkisim" w:cs="Narkisim"/>
          <w:sz w:val="28"/>
        </w:rPr>
      </w:pPr>
      <w:r w:rsidRPr="00A87DA6">
        <w:rPr>
          <w:rFonts w:ascii="Narkisim" w:hAnsi="Narkisim" w:cs="Narkisim"/>
          <w:sz w:val="28"/>
          <w:rtl/>
        </w:rPr>
        <w:t xml:space="preserve">המשיבים עתרו לסילוק התביעה על הסף מחמת התיישנותה. לטענתם, מעת שהמנוחה לא עמדה על זכותה למחצית מזכויותיו של המנוח מכוח חזקת השיתוף אף אחר פטירתו ב - </w:t>
      </w:r>
      <w:r w:rsidRPr="00A87DA6">
        <w:rPr>
          <w:rFonts w:ascii="Narkisim" w:hAnsi="Narkisim" w:cs="Narkisim"/>
          <w:sz w:val="28"/>
          <w:highlight w:val="lightGray"/>
          <w:rtl/>
        </w:rPr>
        <w:t>27.1.1992</w:t>
      </w:r>
      <w:r w:rsidRPr="00A87DA6">
        <w:rPr>
          <w:rFonts w:ascii="Narkisim" w:hAnsi="Narkisim" w:cs="Narkisim" w:hint="cs"/>
          <w:sz w:val="28"/>
          <w:rtl/>
        </w:rPr>
        <w:t xml:space="preserve"> הרי שהתיישנה זכותה לטעון לחזקת השיתוף.  לטענת המשיבים בנדון </w:t>
      </w:r>
      <w:r w:rsidRPr="00A87DA6">
        <w:rPr>
          <w:rFonts w:ascii="Narkisim" w:hAnsi="Narkisim" w:cs="Narkisim"/>
          <w:sz w:val="28"/>
          <w:rtl/>
        </w:rPr>
        <w:t xml:space="preserve">עסקינן בזכויות אובליגטוריות </w:t>
      </w:r>
      <w:r w:rsidRPr="00A87DA6">
        <w:rPr>
          <w:rFonts w:ascii="Narkisim" w:hAnsi="Narkisim" w:cs="Narkisim" w:hint="cs"/>
          <w:sz w:val="28"/>
          <w:rtl/>
        </w:rPr>
        <w:t xml:space="preserve">שכן </w:t>
      </w:r>
      <w:r w:rsidRPr="00A87DA6">
        <w:rPr>
          <w:rFonts w:ascii="Narkisim" w:hAnsi="Narkisim" w:cs="Narkisim"/>
          <w:sz w:val="28"/>
          <w:rtl/>
        </w:rPr>
        <w:t xml:space="preserve">הדירה רשומה ברמ"י ולא בלשכת המקרקעין, </w:t>
      </w:r>
      <w:r w:rsidRPr="00A87DA6">
        <w:rPr>
          <w:rFonts w:ascii="Narkisim" w:hAnsi="Narkisim" w:cs="Narkisim" w:hint="cs"/>
          <w:sz w:val="28"/>
          <w:rtl/>
        </w:rPr>
        <w:t xml:space="preserve">ממילא </w:t>
      </w:r>
      <w:r w:rsidRPr="00A87DA6">
        <w:rPr>
          <w:rFonts w:ascii="Narkisim" w:hAnsi="Narkisim" w:cs="Narkisim"/>
          <w:sz w:val="28"/>
          <w:rtl/>
        </w:rPr>
        <w:t xml:space="preserve">מועד </w:t>
      </w:r>
      <w:r w:rsidRPr="00A87DA6">
        <w:rPr>
          <w:rFonts w:ascii="Narkisim" w:hAnsi="Narkisim" w:cs="Narkisim"/>
          <w:sz w:val="28"/>
          <w:rtl/>
        </w:rPr>
        <w:lastRenderedPageBreak/>
        <w:t>ההתיישנות בעניינה הוא 7 שנים – מועד שחלף לפני זמן רב- ו</w:t>
      </w:r>
      <w:r w:rsidRPr="00A87DA6">
        <w:rPr>
          <w:rFonts w:ascii="Narkisim" w:hAnsi="Narkisim" w:cs="Narkisim" w:hint="cs"/>
          <w:sz w:val="28"/>
          <w:rtl/>
        </w:rPr>
        <w:t xml:space="preserve">מתוך שכך </w:t>
      </w:r>
      <w:r w:rsidRPr="00A87DA6">
        <w:rPr>
          <w:rFonts w:ascii="Narkisim" w:hAnsi="Narkisim" w:cs="Narkisim"/>
          <w:sz w:val="28"/>
          <w:rtl/>
        </w:rPr>
        <w:t xml:space="preserve">התיישנה תביעת המנוחה </w:t>
      </w:r>
      <w:r w:rsidRPr="00A87DA6">
        <w:rPr>
          <w:rFonts w:ascii="Narkisim" w:hAnsi="Narkisim" w:cs="Narkisim" w:hint="cs"/>
          <w:sz w:val="28"/>
          <w:rtl/>
        </w:rPr>
        <w:t xml:space="preserve">התיישנה אף תביעת המערערת העומדת בנעליה. </w:t>
      </w:r>
    </w:p>
    <w:p w:rsidR="005456EA" w:rsidRDefault="005456EA" w:rsidP="005456EA">
      <w:pPr>
        <w:pStyle w:val="a4"/>
        <w:rPr>
          <w:rFonts w:ascii="Narkisim" w:hAnsi="Narkisim" w:cs="Narkisim"/>
          <w:sz w:val="28"/>
          <w:rtl/>
        </w:rPr>
      </w:pPr>
    </w:p>
    <w:p w:rsidR="005456EA" w:rsidRDefault="005456EA" w:rsidP="005456EA">
      <w:pPr>
        <w:pStyle w:val="Ruller4"/>
        <w:tabs>
          <w:tab w:val="left" w:pos="85"/>
        </w:tabs>
        <w:ind w:left="84"/>
        <w:contextualSpacing/>
        <w:rPr>
          <w:rFonts w:ascii="Narkisim" w:hAnsi="Narkisim" w:cs="Narkisim"/>
          <w:sz w:val="28"/>
          <w:rtl/>
        </w:rPr>
      </w:pPr>
      <w:r>
        <w:rPr>
          <w:rFonts w:ascii="Narkisim" w:hAnsi="Narkisim" w:cs="Narkisim"/>
          <w:sz w:val="28"/>
          <w:rtl/>
        </w:rPr>
        <w:t xml:space="preserve">ביום </w:t>
      </w:r>
      <w:r>
        <w:rPr>
          <w:rFonts w:ascii="Narkisim" w:hAnsi="Narkisim" w:cs="Narkisim"/>
          <w:sz w:val="28"/>
          <w:highlight w:val="lightGray"/>
          <w:rtl/>
        </w:rPr>
        <w:t>19.7.22</w:t>
      </w:r>
      <w:r>
        <w:rPr>
          <w:rFonts w:ascii="Narkisim" w:hAnsi="Narkisim" w:cs="Narkisim"/>
          <w:sz w:val="28"/>
          <w:rtl/>
        </w:rPr>
        <w:t xml:space="preserve"> הורה בית משפט קמא למשיבים למקד טענתם לסילוק על הסף בבקשה נפרדת ומסודרת עליה תינתן תגובת המערערת. לטענת המשיבים תשובת המערערת הוגשה ללא תצהיר תומך. </w:t>
      </w:r>
    </w:p>
    <w:p w:rsidR="005456EA" w:rsidRDefault="005456EA" w:rsidP="005456EA">
      <w:pPr>
        <w:pStyle w:val="Ruller4"/>
        <w:tabs>
          <w:tab w:val="left" w:pos="85"/>
        </w:tabs>
        <w:rPr>
          <w:rFonts w:ascii="Narkisim" w:hAnsi="Narkisim" w:cs="Narkisim"/>
          <w:sz w:val="28"/>
          <w:rtl/>
        </w:rPr>
      </w:pPr>
    </w:p>
    <w:p w:rsidR="005456EA" w:rsidRDefault="005456EA" w:rsidP="005456EA">
      <w:pPr>
        <w:pStyle w:val="Ruller4"/>
        <w:numPr>
          <w:ilvl w:val="0"/>
          <w:numId w:val="1"/>
        </w:numPr>
        <w:tabs>
          <w:tab w:val="left" w:pos="85"/>
        </w:tabs>
        <w:ind w:left="84" w:firstLine="0"/>
        <w:contextualSpacing/>
        <w:rPr>
          <w:rFonts w:ascii="Narkisim" w:hAnsi="Narkisim" w:cs="Narkisim"/>
          <w:sz w:val="28"/>
        </w:rPr>
      </w:pPr>
      <w:r>
        <w:rPr>
          <w:rFonts w:ascii="Narkisim" w:hAnsi="Narkisim" w:cs="Narkisim"/>
          <w:sz w:val="28"/>
          <w:rtl/>
        </w:rPr>
        <w:t xml:space="preserve"> המערערת טענה בתשובתה כי יש להחיל בנדון את הוראות סע' 8 </w:t>
      </w:r>
      <w:r>
        <w:rPr>
          <w:rFonts w:ascii="Miriam" w:hAnsi="Miriam" w:cs="Miriam"/>
          <w:szCs w:val="24"/>
          <w:rtl/>
        </w:rPr>
        <w:t>לחוק ההתיישנות</w:t>
      </w:r>
      <w:r>
        <w:rPr>
          <w:rFonts w:ascii="Narkisim" w:hAnsi="Narkisim" w:cs="Narkisim"/>
          <w:sz w:val="28"/>
          <w:rtl/>
        </w:rPr>
        <w:t xml:space="preserve"> התשי"ח – 1958 שעניינן בהתיישנות שלא מדעת</w:t>
      </w:r>
      <w:r>
        <w:rPr>
          <w:rFonts w:ascii="Narkisim" w:hAnsi="Narkisim" w:cs="Narkisim" w:hint="cs"/>
          <w:sz w:val="28"/>
          <w:rtl/>
        </w:rPr>
        <w:t>,</w:t>
      </w:r>
      <w:r>
        <w:rPr>
          <w:rFonts w:ascii="Narkisim" w:hAnsi="Narkisim" w:cs="Narkisim"/>
          <w:sz w:val="28"/>
          <w:rtl/>
        </w:rPr>
        <w:t xml:space="preserve"> הדוחה את מועד תחילת תקופת ההתיישנות למועד ידיעת העובדות המקימות את התביעה. על פי הנטען</w:t>
      </w:r>
      <w:r>
        <w:rPr>
          <w:rFonts w:ascii="Narkisim" w:hAnsi="Narkisim" w:cs="Narkisim" w:hint="cs"/>
          <w:sz w:val="28"/>
          <w:rtl/>
        </w:rPr>
        <w:t>,</w:t>
      </w:r>
      <w:r>
        <w:rPr>
          <w:rFonts w:ascii="Narkisim" w:hAnsi="Narkisim" w:cs="Narkisim"/>
          <w:sz w:val="28"/>
          <w:rtl/>
        </w:rPr>
        <w:t xml:space="preserve"> המנוחה, שהייתה אישה פשוטה ביותר ולא ידעה קרוא וכתוב, לא ידעה כי הדירה נרשמה על שם בעלה המנוח בלבד וכי עליה לבצע שינוי ברישום, היפוכם של דברים  - בשנת 2019 היא קיבלה ממשרד הבינוי והשיכון סיוע הניתן לבעלי דירות לצורך שינוי פנים הדירה, דבר שאושש את הבנתה כי הזכויות בדירה הם שלה. כך גם נהגה המנוחה בדירה מנהג בעלים משך למעלה מעשרים שנה אחר פטירת בעלה המנוח מבלי שמי מילדיה העלה טענות בעניין זה</w:t>
      </w:r>
      <w:r>
        <w:rPr>
          <w:rFonts w:ascii="Narkisim" w:hAnsi="Narkisim" w:cs="Narkisim" w:hint="cs"/>
          <w:sz w:val="28"/>
          <w:rtl/>
        </w:rPr>
        <w:t xml:space="preserve"> ומבלי שמי מהצדדים עתר להוצאת צו ירושה אחר המנוח</w:t>
      </w:r>
      <w:r>
        <w:rPr>
          <w:rFonts w:ascii="Narkisim" w:hAnsi="Narkisim" w:cs="Narkisim"/>
          <w:sz w:val="28"/>
          <w:rtl/>
        </w:rPr>
        <w:t xml:space="preserve">, לפיכך לא </w:t>
      </w:r>
      <w:r>
        <w:rPr>
          <w:rFonts w:ascii="Narkisim" w:hAnsi="Narkisim" w:cs="Narkisim" w:hint="cs"/>
          <w:sz w:val="28"/>
          <w:rtl/>
        </w:rPr>
        <w:t xml:space="preserve">קמה בנדון </w:t>
      </w:r>
      <w:r>
        <w:rPr>
          <w:rFonts w:ascii="Narkisim" w:hAnsi="Narkisim" w:cs="Narkisim"/>
          <w:sz w:val="28"/>
          <w:rtl/>
        </w:rPr>
        <w:t xml:space="preserve">עילת התיישנות. </w:t>
      </w:r>
    </w:p>
    <w:p w:rsidR="005456EA" w:rsidRPr="00252A1B" w:rsidRDefault="005456EA" w:rsidP="005456EA">
      <w:pPr>
        <w:pStyle w:val="Ruller4"/>
        <w:tabs>
          <w:tab w:val="left" w:pos="85"/>
        </w:tabs>
        <w:ind w:left="84"/>
        <w:contextualSpacing/>
        <w:rPr>
          <w:rFonts w:ascii="Narkisim" w:hAnsi="Narkisim" w:cs="Narkisim"/>
          <w:sz w:val="28"/>
        </w:rPr>
      </w:pPr>
    </w:p>
    <w:p w:rsidR="005456EA" w:rsidRDefault="005456EA" w:rsidP="005456EA">
      <w:pPr>
        <w:pStyle w:val="Ruller4"/>
        <w:tabs>
          <w:tab w:val="left" w:pos="85"/>
        </w:tabs>
        <w:ind w:left="84"/>
        <w:contextualSpacing/>
        <w:rPr>
          <w:rFonts w:ascii="Miriam" w:hAnsi="Miriam" w:cs="Miriam"/>
          <w:szCs w:val="24"/>
        </w:rPr>
      </w:pPr>
      <w:r>
        <w:rPr>
          <w:rFonts w:ascii="Miriam" w:hAnsi="Miriam" w:cs="Miriam"/>
          <w:szCs w:val="24"/>
          <w:rtl/>
        </w:rPr>
        <w:t xml:space="preserve">פסק דינו של בית משפט קמא </w:t>
      </w:r>
    </w:p>
    <w:p w:rsidR="005456EA" w:rsidRDefault="005456EA" w:rsidP="005456EA">
      <w:pPr>
        <w:pStyle w:val="Ruller4"/>
        <w:tabs>
          <w:tab w:val="left" w:pos="85"/>
          <w:tab w:val="left" w:pos="652"/>
        </w:tabs>
        <w:ind w:left="84"/>
        <w:contextualSpacing/>
        <w:rPr>
          <w:rFonts w:ascii="Narkisim" w:hAnsi="Narkisim" w:cs="Narkisim"/>
          <w:sz w:val="28"/>
        </w:rPr>
      </w:pPr>
    </w:p>
    <w:p w:rsidR="005456EA" w:rsidRDefault="005456EA" w:rsidP="005456EA">
      <w:pPr>
        <w:pStyle w:val="1"/>
        <w:numPr>
          <w:ilvl w:val="0"/>
          <w:numId w:val="1"/>
        </w:numPr>
        <w:bidi/>
        <w:spacing w:before="0" w:beforeAutospacing="0" w:after="0" w:afterAutospacing="0" w:line="360" w:lineRule="auto"/>
        <w:ind w:left="84" w:firstLine="0"/>
        <w:jc w:val="both"/>
        <w:rPr>
          <w:rFonts w:ascii="Narkisim" w:hAnsi="Narkisim" w:cs="Narkisim"/>
          <w:sz w:val="28"/>
          <w:szCs w:val="28"/>
        </w:rPr>
      </w:pPr>
      <w:r>
        <w:rPr>
          <w:rFonts w:ascii="Narkisim" w:hAnsi="Narkisim" w:cs="Narkisim"/>
          <w:sz w:val="28"/>
          <w:szCs w:val="28"/>
          <w:rtl/>
        </w:rPr>
        <w:t xml:space="preserve">בית משפט קמא קיבל את בקשת המשיבים לסילוק התביעה על הסף מחמת התיישנות. נקבע כי בידי המנוח היו זכויות אובליגטוריות נוכח רישום המקרקעין ברמ"י ולא בלשכת רישום המקרקעין, וממילא תקופת ההתיישנות היא של 7 שנים.  </w:t>
      </w:r>
    </w:p>
    <w:p w:rsidR="005456EA" w:rsidRDefault="005456EA" w:rsidP="005456EA">
      <w:pPr>
        <w:pStyle w:val="Ruller4"/>
        <w:ind w:left="84"/>
        <w:contextualSpacing/>
        <w:rPr>
          <w:rFonts w:ascii="Narkisim" w:hAnsi="Narkisim" w:cs="Narkisim"/>
          <w:sz w:val="28"/>
        </w:rPr>
      </w:pPr>
      <w:r>
        <w:rPr>
          <w:rFonts w:ascii="Narkisim" w:hAnsi="Narkisim" w:cs="Narkisim"/>
          <w:spacing w:val="0"/>
          <w:sz w:val="28"/>
          <w:rtl/>
        </w:rPr>
        <w:t xml:space="preserve">נוכח הוראת סע' 13 </w:t>
      </w:r>
      <w:r>
        <w:rPr>
          <w:rFonts w:ascii="Miriam" w:hAnsi="Miriam" w:cs="Miriam"/>
          <w:spacing w:val="0"/>
          <w:szCs w:val="24"/>
          <w:rtl/>
        </w:rPr>
        <w:t>לחוק ההתיישנות</w:t>
      </w:r>
      <w:r>
        <w:rPr>
          <w:rFonts w:ascii="Narkisim" w:hAnsi="Narkisim" w:cs="Narkisim"/>
          <w:spacing w:val="0"/>
          <w:sz w:val="28"/>
          <w:rtl/>
        </w:rPr>
        <w:t xml:space="preserve"> כי בתקופת ההתיישנות אין להביא במניין את הזמן בו היו בעלי הדין נשואים הרי שתחילת מועד ההתיישנות בנדון הוא ממועד פטירת המנוח היינו -  </w:t>
      </w:r>
      <w:r>
        <w:rPr>
          <w:rFonts w:ascii="Narkisim" w:hAnsi="Narkisim" w:cs="Narkisim"/>
          <w:spacing w:val="0"/>
          <w:sz w:val="28"/>
          <w:highlight w:val="lightGray"/>
          <w:rtl/>
        </w:rPr>
        <w:t>27.1.1992,</w:t>
      </w:r>
      <w:r>
        <w:rPr>
          <w:rFonts w:ascii="Narkisim" w:hAnsi="Narkisim" w:cs="Narkisim"/>
          <w:spacing w:val="0"/>
          <w:sz w:val="28"/>
          <w:rtl/>
        </w:rPr>
        <w:t xml:space="preserve"> ממילא מועד ההתיישנות הסתיים ביום </w:t>
      </w:r>
      <w:r>
        <w:rPr>
          <w:rFonts w:ascii="Narkisim" w:hAnsi="Narkisim" w:cs="Narkisim"/>
          <w:spacing w:val="0"/>
          <w:sz w:val="28"/>
          <w:highlight w:val="lightGray"/>
          <w:rtl/>
        </w:rPr>
        <w:t>27.1.1999.</w:t>
      </w:r>
      <w:r>
        <w:rPr>
          <w:rFonts w:ascii="Narkisim" w:hAnsi="Narkisim" w:cs="Narkisim"/>
          <w:spacing w:val="0"/>
          <w:sz w:val="28"/>
          <w:rtl/>
        </w:rPr>
        <w:t xml:space="preserve">  ממועד פטירת המנוח עד למועד פטירת המנוחה חלפו כ -  27 שנה בהן לא עמדה על זכויותיה</w:t>
      </w:r>
      <w:r>
        <w:rPr>
          <w:rFonts w:ascii="Narkisim" w:hAnsi="Narkisim" w:cs="Narkisim"/>
          <w:sz w:val="28"/>
          <w:rtl/>
        </w:rPr>
        <w:t xml:space="preserve">, כך שגם אם עסקינן במקרקעין מוסדרים </w:t>
      </w:r>
      <w:r>
        <w:rPr>
          <w:rFonts w:ascii="Narkisim" w:hAnsi="Narkisim" w:cs="Narkisim" w:hint="cs"/>
          <w:sz w:val="28"/>
          <w:rtl/>
        </w:rPr>
        <w:t>הרי ש</w:t>
      </w:r>
      <w:r>
        <w:rPr>
          <w:rFonts w:ascii="Narkisim" w:hAnsi="Narkisim" w:cs="Narkisim"/>
          <w:sz w:val="28"/>
          <w:rtl/>
        </w:rPr>
        <w:t xml:space="preserve">אף מועד ההתיישנות של 25 שנה עבר וחלף. ממילא תביעתה של המערערת התיישנה כבר בחיי אמה המנוחה. </w:t>
      </w:r>
    </w:p>
    <w:p w:rsidR="005456EA" w:rsidRDefault="005456EA" w:rsidP="005456EA">
      <w:pPr>
        <w:pStyle w:val="a4"/>
        <w:rPr>
          <w:rFonts w:ascii="Narkisim" w:hAnsi="Narkisim" w:cs="Narkisim"/>
          <w:sz w:val="28"/>
          <w:szCs w:val="28"/>
          <w:rtl/>
        </w:rPr>
      </w:pPr>
    </w:p>
    <w:p w:rsidR="005456EA" w:rsidRDefault="005456EA" w:rsidP="005456EA">
      <w:pPr>
        <w:pStyle w:val="Ruller4"/>
        <w:tabs>
          <w:tab w:val="left" w:pos="-58"/>
        </w:tabs>
        <w:ind w:left="84"/>
        <w:contextualSpacing/>
        <w:rPr>
          <w:rFonts w:ascii="Narkisim" w:hAnsi="Narkisim" w:cs="Narkisim"/>
          <w:sz w:val="28"/>
          <w:rtl/>
        </w:rPr>
      </w:pPr>
      <w:r>
        <w:rPr>
          <w:rFonts w:ascii="Narkisim" w:hAnsi="Narkisim" w:cs="Narkisim"/>
          <w:sz w:val="28"/>
          <w:rtl/>
        </w:rPr>
        <w:t xml:space="preserve">מהתנהגות המנוחה יש ללמוד כי היא ויתרה על זכויותיה וממילא אין יורשיה יכולים להעלות הטענות לזכויות תחתיה, כפי שצוין, בין השאר, בפסק הדין </w:t>
      </w:r>
      <w:r>
        <w:rPr>
          <w:rFonts w:ascii="Miriam" w:hAnsi="Miriam" w:cs="Miriam"/>
          <w:szCs w:val="24"/>
          <w:rtl/>
        </w:rPr>
        <w:t>בעניין יהלום</w:t>
      </w:r>
      <w:r>
        <w:rPr>
          <w:rFonts w:ascii="Narkisim" w:hAnsi="Narkisim" w:cs="Narkisim"/>
          <w:sz w:val="28"/>
          <w:rtl/>
        </w:rPr>
        <w:t xml:space="preserve"> (ע"א 5774/91 </w:t>
      </w:r>
      <w:r>
        <w:rPr>
          <w:rFonts w:ascii="Miriam" w:hAnsi="Miriam" w:cs="Miriam"/>
          <w:szCs w:val="24"/>
          <w:rtl/>
        </w:rPr>
        <w:t>יהלום נגד מנהל מס שבח</w:t>
      </w:r>
      <w:r>
        <w:rPr>
          <w:rFonts w:ascii="Narkisim" w:hAnsi="Narkisim" w:cs="Narkisim"/>
          <w:b/>
          <w:bCs/>
          <w:sz w:val="28"/>
          <w:rtl/>
        </w:rPr>
        <w:t xml:space="preserve"> </w:t>
      </w:r>
      <w:r>
        <w:rPr>
          <w:rFonts w:ascii="Narkisim" w:hAnsi="Narkisim" w:cs="Narkisim"/>
          <w:sz w:val="28"/>
          <w:rtl/>
        </w:rPr>
        <w:t xml:space="preserve">(1994)). </w:t>
      </w:r>
    </w:p>
    <w:p w:rsidR="005456EA" w:rsidRDefault="005456EA" w:rsidP="005456EA">
      <w:pPr>
        <w:pStyle w:val="Ruller4"/>
        <w:rPr>
          <w:rFonts w:ascii="Narkisim" w:hAnsi="Narkisim" w:cs="Narkisim"/>
          <w:sz w:val="28"/>
        </w:rPr>
      </w:pPr>
    </w:p>
    <w:p w:rsidR="005456EA" w:rsidRDefault="005456EA" w:rsidP="005456EA">
      <w:pPr>
        <w:pStyle w:val="Ruller4"/>
        <w:numPr>
          <w:ilvl w:val="0"/>
          <w:numId w:val="1"/>
        </w:numPr>
        <w:tabs>
          <w:tab w:val="left" w:pos="720"/>
        </w:tabs>
        <w:ind w:left="84" w:firstLine="0"/>
        <w:contextualSpacing/>
        <w:rPr>
          <w:rFonts w:ascii="Narkisim" w:hAnsi="Narkisim" w:cs="Narkisim"/>
          <w:sz w:val="28"/>
        </w:rPr>
      </w:pPr>
      <w:r>
        <w:rPr>
          <w:rFonts w:ascii="Narkisim" w:hAnsi="Narkisim" w:cs="Narkisim"/>
          <w:sz w:val="28"/>
          <w:rtl/>
        </w:rPr>
        <w:t xml:space="preserve"> בית משפט קמא הוסיף ודחה את טענות המערערת לדחיית מועד תחילת ההתיישנות מחמת התיישנות שלא מדעת, אחר שמצא כי למנוחה עמדו לכל הפחות שני מועדים או הזדמנויות בהם בזהירות סבירה יכלה לעמוד על זכויותיה, ומשלא עשתה כן ניתן ללמוד כי ויתרה על זכותה. כך במועד עריכת צוואתה עת שכרה עורך דין לצורך כך יכולה הייתה לעמוד על טיב זכיותיה בדירה, וכן יכולה הייתה לעמוד על טיב זכויותיה בדירה באמצעות פנייה ישירה למשרד השיכון או לרמ"י כפי </w:t>
      </w:r>
      <w:r>
        <w:rPr>
          <w:rFonts w:ascii="Narkisim" w:hAnsi="Narkisim" w:cs="Narkisim"/>
          <w:sz w:val="28"/>
          <w:rtl/>
        </w:rPr>
        <w:lastRenderedPageBreak/>
        <w:t xml:space="preserve">שעשתה לטובת קבלת סיוע כספי לחלוקה פנימית בדירה, וזאת  בין בעצמה ובין באמצעות אחד מתשעת ילדיה. מעת שלא ביררה המנוחה את זכויותיה כמצופה הרי שיש לראות בכך את ויתורה על זכויות אלו. מתוך שכך הורה בית המשפט על סילוק התביעה על הסף וזאת ללא צו להוצאות.  </w:t>
      </w:r>
    </w:p>
    <w:p w:rsidR="005456EA" w:rsidRDefault="005456EA" w:rsidP="005456EA">
      <w:pPr>
        <w:pStyle w:val="Ruller4"/>
        <w:tabs>
          <w:tab w:val="left" w:pos="720"/>
        </w:tabs>
        <w:ind w:left="84"/>
        <w:contextualSpacing/>
        <w:rPr>
          <w:rFonts w:ascii="Narkisim" w:hAnsi="Narkisim" w:cs="Narkisim"/>
          <w:sz w:val="28"/>
        </w:rPr>
      </w:pPr>
    </w:p>
    <w:p w:rsidR="005456EA" w:rsidRDefault="005456EA" w:rsidP="005456EA">
      <w:pPr>
        <w:pStyle w:val="Ruller4"/>
        <w:tabs>
          <w:tab w:val="left" w:pos="720"/>
        </w:tabs>
        <w:ind w:left="84"/>
        <w:contextualSpacing/>
        <w:rPr>
          <w:rFonts w:ascii="Miriam" w:hAnsi="Miriam" w:cs="Miriam"/>
          <w:szCs w:val="24"/>
          <w:rtl/>
        </w:rPr>
      </w:pPr>
      <w:r>
        <w:rPr>
          <w:rFonts w:ascii="Miriam" w:hAnsi="Miriam" w:cs="Miriam"/>
          <w:szCs w:val="24"/>
          <w:rtl/>
        </w:rPr>
        <w:t xml:space="preserve">תמצית טענות המערערת </w:t>
      </w:r>
    </w:p>
    <w:p w:rsidR="005456EA" w:rsidRDefault="005456EA" w:rsidP="005456EA">
      <w:pPr>
        <w:pStyle w:val="Ruller4"/>
        <w:tabs>
          <w:tab w:val="left" w:pos="720"/>
        </w:tabs>
        <w:ind w:left="84"/>
        <w:contextualSpacing/>
        <w:rPr>
          <w:rFonts w:ascii="Miriam" w:hAnsi="Miriam" w:cs="Miriam"/>
          <w:szCs w:val="24"/>
          <w:rtl/>
        </w:rPr>
      </w:pPr>
    </w:p>
    <w:p w:rsidR="005456EA" w:rsidRDefault="005456EA" w:rsidP="005456EA">
      <w:pPr>
        <w:pStyle w:val="Ruller4"/>
        <w:numPr>
          <w:ilvl w:val="0"/>
          <w:numId w:val="1"/>
        </w:numPr>
        <w:tabs>
          <w:tab w:val="left" w:pos="720"/>
        </w:tabs>
        <w:ind w:left="84" w:firstLine="0"/>
        <w:contextualSpacing/>
        <w:rPr>
          <w:rFonts w:ascii="Narkisim" w:hAnsi="Narkisim" w:cs="Narkisim"/>
          <w:sz w:val="28"/>
          <w:rtl/>
        </w:rPr>
      </w:pPr>
      <w:r>
        <w:rPr>
          <w:rFonts w:ascii="Narkisim" w:hAnsi="Narkisim" w:cs="Narkisim"/>
          <w:sz w:val="28"/>
          <w:rtl/>
        </w:rPr>
        <w:t xml:space="preserve"> שגה בית המשפט בהתעלמו מטענות המערערת באשר לעניינה המיוחד של המנוחה, אשר לא ידעה קרוא וכתוב ולא היה לה ספק כי הרכוש של בעלה שייך לשניהם בחלקים שווים ואחר פטירת בעלה שייך לה בלבד, וכי אף אחד מהצדדים מעולם לא פקפק בזכויות המנוחה או העלה טענות כנגדן, ממילא מעולם לא הייתה </w:t>
      </w:r>
      <w:r>
        <w:rPr>
          <w:rFonts w:ascii="Narkisim" w:hAnsi="Narkisim" w:cs="Narkisim" w:hint="cs"/>
          <w:sz w:val="28"/>
          <w:rtl/>
        </w:rPr>
        <w:t xml:space="preserve">קמה </w:t>
      </w:r>
      <w:r>
        <w:rPr>
          <w:rFonts w:ascii="Narkisim" w:hAnsi="Narkisim" w:cs="Narkisim"/>
          <w:sz w:val="28"/>
          <w:rtl/>
        </w:rPr>
        <w:t xml:space="preserve">לה עילה להגשת תביעה בעניינו של הרכוש. יתרה מזו, כל האחים ידעו כי ההורים מבקשים לייחד את הדירה למערערת בשל טיפולה המסור בהם במשך שנים רבות. רק לאחר פטירת המנוחה הגישו האחים בקשה למתן צו ירושה למנוח. אז הסתבר כי הדירה נרשמה בשנות ה – 40 בחברה משכנת על שם המנוח בלבד. עניין זה כלל לא היה בידיעת המנוחים. שגה, אפוא, בית המשפט בדחותו את טענת המערערת כי עסקינן בהתיישנות שלא מדעת" כהגדרתה בסע' 8 </w:t>
      </w:r>
      <w:r>
        <w:rPr>
          <w:rFonts w:ascii="Miriam" w:hAnsi="Miriam" w:cs="Miriam"/>
          <w:szCs w:val="24"/>
          <w:rtl/>
        </w:rPr>
        <w:t>לחוק ההתיישנות</w:t>
      </w:r>
      <w:r>
        <w:rPr>
          <w:rFonts w:ascii="Narkisim" w:hAnsi="Narkisim" w:cs="Narkisim"/>
          <w:sz w:val="28"/>
          <w:rtl/>
        </w:rPr>
        <w:t xml:space="preserve"> וכי יש להתחיל את מרוץ ההתיישנות החל מהיום בו קיבלו הצדדים לידם את הרישום הנוגע לזכויות בדירה. ממילא עסקינן בתביעה שלא התיישנה.  </w:t>
      </w:r>
    </w:p>
    <w:p w:rsidR="005456EA" w:rsidRDefault="005456EA" w:rsidP="005456EA">
      <w:pPr>
        <w:pStyle w:val="Ruller4"/>
        <w:tabs>
          <w:tab w:val="left" w:pos="720"/>
        </w:tabs>
        <w:ind w:left="84"/>
        <w:contextualSpacing/>
        <w:rPr>
          <w:rFonts w:ascii="Narkisim" w:hAnsi="Narkisim" w:cs="Narkisim"/>
          <w:sz w:val="28"/>
        </w:rPr>
      </w:pPr>
    </w:p>
    <w:p w:rsidR="005456EA" w:rsidRDefault="005456EA" w:rsidP="005456EA">
      <w:pPr>
        <w:pStyle w:val="Ruller4"/>
        <w:numPr>
          <w:ilvl w:val="0"/>
          <w:numId w:val="1"/>
        </w:numPr>
        <w:tabs>
          <w:tab w:val="left" w:pos="720"/>
        </w:tabs>
        <w:ind w:left="84" w:firstLine="0"/>
        <w:contextualSpacing/>
        <w:rPr>
          <w:rFonts w:ascii="Narkisim" w:hAnsi="Narkisim" w:cs="Narkisim"/>
          <w:sz w:val="28"/>
        </w:rPr>
      </w:pPr>
      <w:r>
        <w:rPr>
          <w:rFonts w:ascii="Narkisim" w:hAnsi="Narkisim" w:cs="Narkisim"/>
          <w:sz w:val="28"/>
          <w:rtl/>
        </w:rPr>
        <w:lastRenderedPageBreak/>
        <w:t xml:space="preserve">הכרעה בטענה מכוח סע' 8 </w:t>
      </w:r>
      <w:r>
        <w:rPr>
          <w:rFonts w:ascii="Miriam" w:hAnsi="Miriam" w:cs="Miriam"/>
          <w:szCs w:val="24"/>
          <w:rtl/>
        </w:rPr>
        <w:t>לחוק ההתיישנות</w:t>
      </w:r>
      <w:r>
        <w:rPr>
          <w:rFonts w:ascii="Narkisim" w:hAnsi="Narkisim" w:cs="Narkisim"/>
          <w:sz w:val="28"/>
          <w:rtl/>
        </w:rPr>
        <w:t xml:space="preserve"> דורשת בעיקרה בירור עובדתי דבר שלא נעשה כדבעי על ידי בית משפט קמא, לא הייתה כל התייחסות לעובדה שהמנוחה נהגה בדירה מנהג בעלים מבלי שמי מהיורשים דרש ממנה דמי שימוש ראויים או תבע את חלקו בהם במשך 27 השנים בהם גרה בדירה אחר פטירת המנוח, </w:t>
      </w:r>
      <w:r>
        <w:rPr>
          <w:rFonts w:ascii="Narkisim" w:hAnsi="Narkisim" w:cs="Narkisim" w:hint="cs"/>
          <w:sz w:val="28"/>
          <w:rtl/>
        </w:rPr>
        <w:t xml:space="preserve">זאת ועוד - </w:t>
      </w:r>
      <w:r>
        <w:rPr>
          <w:rFonts w:ascii="Narkisim" w:hAnsi="Narkisim" w:cs="Narkisim"/>
          <w:sz w:val="28"/>
          <w:rtl/>
        </w:rPr>
        <w:t>המנוחה אף קיבלה סיוע ממשרד השיכון לשיפוץ דירתה, סיוע הניתן לבעלי דירות</w:t>
      </w:r>
      <w:r>
        <w:rPr>
          <w:rFonts w:ascii="Narkisim" w:hAnsi="Narkisim" w:cs="Narkisim" w:hint="cs"/>
          <w:sz w:val="28"/>
          <w:rtl/>
        </w:rPr>
        <w:t xml:space="preserve">, יתרה מכך - גם </w:t>
      </w:r>
      <w:r>
        <w:rPr>
          <w:rFonts w:ascii="Narkisim" w:hAnsi="Narkisim" w:cs="Narkisim"/>
          <w:sz w:val="28"/>
          <w:rtl/>
        </w:rPr>
        <w:t>קודם עריכת צוואתה הבהירה לפסיכיאטרית שבאה לבדוק את כשירותה כי היא רוצה להעביר את הדירה למערערת ומכאן שהבינה שכלל הזכויות בדירה שייכות לה</w:t>
      </w:r>
      <w:r>
        <w:rPr>
          <w:rFonts w:ascii="Narkisim" w:hAnsi="Narkisim" w:cs="Narkisim" w:hint="cs"/>
          <w:sz w:val="28"/>
          <w:rtl/>
        </w:rPr>
        <w:t>, והתנהגותה לא הייתה התנהגות של זה המוותר על זכויותיו</w:t>
      </w:r>
      <w:r>
        <w:rPr>
          <w:rFonts w:ascii="Narkisim" w:hAnsi="Narkisim" w:cs="Narkisim"/>
          <w:sz w:val="28"/>
          <w:rtl/>
        </w:rPr>
        <w:t>.</w:t>
      </w:r>
    </w:p>
    <w:p w:rsidR="005456EA" w:rsidRDefault="005456EA" w:rsidP="005456EA">
      <w:pPr>
        <w:pStyle w:val="a4"/>
        <w:rPr>
          <w:rFonts w:ascii="Narkisim" w:hAnsi="Narkisim" w:cs="Narkisim"/>
          <w:sz w:val="28"/>
        </w:rPr>
      </w:pPr>
    </w:p>
    <w:p w:rsidR="005456EA" w:rsidRDefault="005456EA" w:rsidP="005456EA">
      <w:pPr>
        <w:pStyle w:val="Ruller4"/>
        <w:numPr>
          <w:ilvl w:val="0"/>
          <w:numId w:val="1"/>
        </w:numPr>
        <w:tabs>
          <w:tab w:val="left" w:pos="720"/>
        </w:tabs>
        <w:ind w:left="84" w:firstLine="0"/>
        <w:contextualSpacing/>
        <w:rPr>
          <w:rFonts w:ascii="Narkisim" w:hAnsi="Narkisim" w:cs="Narkisim"/>
          <w:sz w:val="28"/>
          <w:rtl/>
        </w:rPr>
      </w:pPr>
      <w:r>
        <w:rPr>
          <w:rFonts w:ascii="Narkisim" w:hAnsi="Narkisim" w:cs="Narkisim"/>
          <w:sz w:val="28"/>
          <w:rtl/>
        </w:rPr>
        <w:t xml:space="preserve">שגה בית המשפט בקבעו כי שתי הצוואות אשר ערכה המנוחה מהוות מועדים בהם יכולה הייתה לברר את טיב זכויותיה בדירה נוכח עריכת הצוואות על ידי עורך דין מקצועי. זאת, שכן אין לראות בעצם הפנייה לעורך דין לצורך עריכת צוואה משום "הזדמנות סבירה" לדעת על פרטי הרישום. </w:t>
      </w:r>
    </w:p>
    <w:p w:rsidR="005456EA" w:rsidRDefault="005456EA" w:rsidP="005456EA">
      <w:pPr>
        <w:pStyle w:val="Ruller4"/>
        <w:tabs>
          <w:tab w:val="left" w:pos="720"/>
        </w:tabs>
        <w:ind w:left="84"/>
        <w:contextualSpacing/>
        <w:rPr>
          <w:rFonts w:ascii="Narkisim" w:hAnsi="Narkisim" w:cs="Narkisim"/>
          <w:sz w:val="28"/>
        </w:rPr>
      </w:pPr>
    </w:p>
    <w:p w:rsidR="005456EA" w:rsidRDefault="005456EA" w:rsidP="005456EA">
      <w:pPr>
        <w:pStyle w:val="Ruller4"/>
        <w:tabs>
          <w:tab w:val="left" w:pos="720"/>
        </w:tabs>
        <w:ind w:left="84"/>
        <w:contextualSpacing/>
        <w:rPr>
          <w:rFonts w:ascii="Narkisim" w:hAnsi="Narkisim" w:cs="Narkisim"/>
          <w:sz w:val="28"/>
        </w:rPr>
      </w:pPr>
      <w:r>
        <w:rPr>
          <w:rFonts w:ascii="Narkisim" w:hAnsi="Narkisim" w:cs="Narkisim"/>
          <w:sz w:val="28"/>
          <w:rtl/>
        </w:rPr>
        <w:t xml:space="preserve">יתר על כן, תוכן הצוואות בהן ציוותה את הדירה למערערת מלמד כי היא עצמה סברה שהדירה שייכת לה על אף פנייתה לעורך הדין, ומכאן שעורך הדין לא הסב שימת ליבה לטעות כל שהיא מבחינתה. </w:t>
      </w:r>
    </w:p>
    <w:p w:rsidR="005456EA" w:rsidRDefault="005456EA" w:rsidP="005456EA">
      <w:pPr>
        <w:pStyle w:val="Ruller4"/>
        <w:tabs>
          <w:tab w:val="left" w:pos="720"/>
        </w:tabs>
        <w:ind w:left="84"/>
        <w:contextualSpacing/>
        <w:rPr>
          <w:rFonts w:ascii="Narkisim" w:hAnsi="Narkisim" w:cs="Narkisim"/>
          <w:sz w:val="28"/>
          <w:rtl/>
        </w:rPr>
      </w:pPr>
      <w:r>
        <w:rPr>
          <w:rFonts w:ascii="Narkisim" w:hAnsi="Narkisim" w:cs="Narkisim"/>
          <w:sz w:val="28"/>
          <w:rtl/>
        </w:rPr>
        <w:t xml:space="preserve"> </w:t>
      </w:r>
    </w:p>
    <w:p w:rsidR="005456EA" w:rsidRDefault="005456EA" w:rsidP="005456EA">
      <w:pPr>
        <w:pStyle w:val="Ruller4"/>
        <w:numPr>
          <w:ilvl w:val="0"/>
          <w:numId w:val="1"/>
        </w:numPr>
        <w:tabs>
          <w:tab w:val="left" w:pos="720"/>
        </w:tabs>
        <w:ind w:left="84" w:firstLine="0"/>
        <w:contextualSpacing/>
        <w:rPr>
          <w:rFonts w:ascii="Narkisim" w:hAnsi="Narkisim" w:cs="Narkisim"/>
          <w:sz w:val="28"/>
        </w:rPr>
      </w:pPr>
      <w:r>
        <w:rPr>
          <w:rFonts w:ascii="Narkisim" w:hAnsi="Narkisim" w:cs="Narkisim"/>
          <w:sz w:val="28"/>
          <w:rtl/>
        </w:rPr>
        <w:lastRenderedPageBreak/>
        <w:t xml:space="preserve">בית המשפט ביצע בחינה טכנית של כללי ההתיישנות תוך התעלמות מהנסיבות המלמדות כי המנוחה מעולם לא ויתרה על זכויותיה דבר שכשלעצמו שולל את ההתיישנות. </w:t>
      </w:r>
    </w:p>
    <w:p w:rsidR="005456EA" w:rsidRDefault="005456EA" w:rsidP="005456EA">
      <w:pPr>
        <w:pStyle w:val="Ruller4"/>
        <w:tabs>
          <w:tab w:val="left" w:pos="720"/>
        </w:tabs>
        <w:ind w:left="84"/>
        <w:contextualSpacing/>
        <w:rPr>
          <w:rFonts w:ascii="Narkisim" w:hAnsi="Narkisim" w:cs="Narkisim"/>
          <w:sz w:val="28"/>
          <w:rtl/>
        </w:rPr>
      </w:pPr>
    </w:p>
    <w:p w:rsidR="005456EA" w:rsidRDefault="005456EA" w:rsidP="005456EA">
      <w:pPr>
        <w:pStyle w:val="Ruller4"/>
        <w:tabs>
          <w:tab w:val="left" w:pos="720"/>
        </w:tabs>
        <w:ind w:left="84"/>
        <w:contextualSpacing/>
        <w:rPr>
          <w:rFonts w:ascii="Miriam" w:hAnsi="Miriam" w:cs="Miriam"/>
          <w:szCs w:val="24"/>
          <w:rtl/>
        </w:rPr>
      </w:pPr>
      <w:r>
        <w:rPr>
          <w:rFonts w:ascii="Miriam" w:hAnsi="Miriam" w:cs="Miriam"/>
          <w:szCs w:val="24"/>
          <w:rtl/>
        </w:rPr>
        <w:t xml:space="preserve">תמצית טענות המשיבים </w:t>
      </w:r>
    </w:p>
    <w:p w:rsidR="005456EA" w:rsidRDefault="005456EA" w:rsidP="005456EA">
      <w:pPr>
        <w:pStyle w:val="Ruller4"/>
        <w:tabs>
          <w:tab w:val="left" w:pos="720"/>
        </w:tabs>
        <w:ind w:left="84"/>
        <w:contextualSpacing/>
        <w:rPr>
          <w:rFonts w:ascii="Miriam" w:hAnsi="Miriam" w:cs="Miriam"/>
          <w:szCs w:val="24"/>
          <w:rtl/>
        </w:rPr>
      </w:pPr>
    </w:p>
    <w:p w:rsidR="005456EA" w:rsidRDefault="005456EA" w:rsidP="005456EA">
      <w:pPr>
        <w:pStyle w:val="Ruller4"/>
        <w:numPr>
          <w:ilvl w:val="0"/>
          <w:numId w:val="1"/>
        </w:numPr>
        <w:tabs>
          <w:tab w:val="left" w:pos="720"/>
        </w:tabs>
        <w:ind w:left="84" w:firstLine="0"/>
        <w:contextualSpacing/>
        <w:rPr>
          <w:rFonts w:ascii="Narkisim" w:hAnsi="Narkisim" w:cs="Narkisim"/>
          <w:sz w:val="28"/>
          <w:rtl/>
        </w:rPr>
      </w:pPr>
      <w:r>
        <w:rPr>
          <w:rFonts w:ascii="Narkisim" w:hAnsi="Narkisim" w:cs="Narkisim"/>
          <w:sz w:val="28"/>
          <w:rtl/>
        </w:rPr>
        <w:t xml:space="preserve">בנדון תביעת המנוחה התיישנה וממילא התיישנה גם תביעת המערערת המבקשת לעמוד בנעליה. המערערת כשלה בהוכחת קיומה של התיישנות שלא מדעת. שכן, לצורך הוכחתה אין די להוכיח את חוסר ידיעת המנוחה אלא יש להוסיף ולהוכיח כי גם באמצעות מאמץ בסיסי לא יכולה הייתה המנוחה לברר את העובדות כהווייתן. מבחן יכולת הידיעה הוא מבחן אובייקטיבי. לפיכך, צדק בית המשפט בקביעתו כי המנוחה יכלה לדעת את העובדות כהווייתן. </w:t>
      </w:r>
    </w:p>
    <w:p w:rsidR="005456EA" w:rsidRDefault="005456EA" w:rsidP="005456EA">
      <w:pPr>
        <w:pStyle w:val="Ruller4"/>
        <w:tabs>
          <w:tab w:val="left" w:pos="720"/>
        </w:tabs>
        <w:ind w:left="84"/>
        <w:contextualSpacing/>
        <w:rPr>
          <w:rFonts w:ascii="Narkisim" w:hAnsi="Narkisim" w:cs="Narkisim"/>
          <w:sz w:val="28"/>
        </w:rPr>
      </w:pPr>
    </w:p>
    <w:p w:rsidR="005456EA" w:rsidRDefault="005456EA" w:rsidP="005456EA">
      <w:pPr>
        <w:pStyle w:val="Ruller4"/>
        <w:numPr>
          <w:ilvl w:val="0"/>
          <w:numId w:val="1"/>
        </w:numPr>
        <w:tabs>
          <w:tab w:val="left" w:pos="720"/>
        </w:tabs>
        <w:ind w:left="84" w:firstLine="0"/>
        <w:contextualSpacing/>
        <w:rPr>
          <w:rFonts w:ascii="Narkisim" w:hAnsi="Narkisim" w:cs="Narkisim"/>
          <w:sz w:val="28"/>
        </w:rPr>
      </w:pPr>
      <w:r>
        <w:rPr>
          <w:rFonts w:ascii="Narkisim" w:hAnsi="Narkisim" w:cs="Narkisim"/>
          <w:sz w:val="28"/>
          <w:rtl/>
        </w:rPr>
        <w:t xml:space="preserve">עצם העובדה שהמערערת לא הגישה כתב תשובה אחר טענת המשיבים להתיישנות מונע ממנה להעלות טענות עובדתיות כעת המבקשות להתמודד עם טענת ההתיישנות. גם התשובה שהוגשה על ידה לבקשת המשיבים לסילוק על הסף הוגשה ללא תצהיר התומך בטענות העובדתיות הנטענות בה.  </w:t>
      </w:r>
    </w:p>
    <w:p w:rsidR="005456EA" w:rsidRDefault="005456EA" w:rsidP="005456EA">
      <w:pPr>
        <w:pStyle w:val="a4"/>
        <w:rPr>
          <w:rFonts w:ascii="Narkisim" w:hAnsi="Narkisim" w:cs="Narkisim"/>
          <w:sz w:val="28"/>
        </w:rPr>
      </w:pPr>
    </w:p>
    <w:p w:rsidR="005456EA" w:rsidRDefault="005456EA" w:rsidP="005456EA">
      <w:pPr>
        <w:pStyle w:val="Ruller4"/>
        <w:numPr>
          <w:ilvl w:val="0"/>
          <w:numId w:val="1"/>
        </w:numPr>
        <w:tabs>
          <w:tab w:val="left" w:pos="720"/>
        </w:tabs>
        <w:ind w:left="84" w:firstLine="0"/>
        <w:contextualSpacing/>
        <w:rPr>
          <w:rFonts w:ascii="Narkisim" w:hAnsi="Narkisim" w:cs="Narkisim"/>
          <w:sz w:val="28"/>
          <w:rtl/>
        </w:rPr>
      </w:pPr>
      <w:r>
        <w:rPr>
          <w:rFonts w:ascii="Narkisim" w:hAnsi="Narkisim" w:cs="Narkisim"/>
          <w:sz w:val="28"/>
          <w:rtl/>
        </w:rPr>
        <w:t xml:space="preserve">בנדון המערערת יכולה הייתה לבחון את סוגיית הרישום באופן פשוט ובמספר הזדמנויות. המנוחה ערכה צוואות ביום </w:t>
      </w:r>
      <w:r>
        <w:rPr>
          <w:rFonts w:ascii="Narkisim" w:hAnsi="Narkisim" w:cs="Narkisim"/>
          <w:sz w:val="28"/>
          <w:highlight w:val="lightGray"/>
          <w:rtl/>
        </w:rPr>
        <w:t>4.7.05</w:t>
      </w:r>
      <w:r>
        <w:rPr>
          <w:rFonts w:ascii="Narkisim" w:hAnsi="Narkisim" w:cs="Narkisim"/>
          <w:sz w:val="28"/>
          <w:rtl/>
        </w:rPr>
        <w:t xml:space="preserve"> וביום </w:t>
      </w:r>
      <w:r>
        <w:rPr>
          <w:rFonts w:ascii="Narkisim" w:hAnsi="Narkisim" w:cs="Narkisim"/>
          <w:sz w:val="28"/>
          <w:highlight w:val="lightGray"/>
          <w:rtl/>
        </w:rPr>
        <w:t>26.10.14</w:t>
      </w:r>
      <w:r>
        <w:rPr>
          <w:rFonts w:ascii="Narkisim" w:hAnsi="Narkisim" w:cs="Narkisim"/>
          <w:sz w:val="28"/>
          <w:rtl/>
        </w:rPr>
        <w:t xml:space="preserve">, הצוואות נערכו בסיוע עורך דין בוודאי יכול היה לבקשתה לברר את הרישום.  במהלך השנים קיבלה </w:t>
      </w:r>
      <w:r>
        <w:rPr>
          <w:rFonts w:ascii="Narkisim" w:hAnsi="Narkisim" w:cs="Narkisim"/>
          <w:sz w:val="28"/>
          <w:rtl/>
        </w:rPr>
        <w:lastRenderedPageBreak/>
        <w:t xml:space="preserve">המנוחה, ואף המערערת שהתגוררה יחד עמה, מכתבים רבים מרמ"י וניתן היה ללמוד מתוכנם כי הדירה אינה רשומה על שם המנוחה (נספח 7 בתמ"ש 10753-06-20)  </w:t>
      </w:r>
    </w:p>
    <w:p w:rsidR="005456EA" w:rsidRDefault="005456EA" w:rsidP="005456EA">
      <w:pPr>
        <w:pStyle w:val="Ruller4"/>
        <w:tabs>
          <w:tab w:val="left" w:pos="720"/>
        </w:tabs>
        <w:rPr>
          <w:rFonts w:ascii="Narkisim" w:hAnsi="Narkisim" w:cs="Narkisim"/>
          <w:sz w:val="28"/>
        </w:rPr>
      </w:pPr>
    </w:p>
    <w:p w:rsidR="005456EA" w:rsidRDefault="005456EA" w:rsidP="005456EA">
      <w:pPr>
        <w:pStyle w:val="Ruller4"/>
        <w:tabs>
          <w:tab w:val="left" w:pos="720"/>
        </w:tabs>
        <w:ind w:left="3600"/>
        <w:contextualSpacing/>
        <w:rPr>
          <w:rFonts w:ascii="Narkisim" w:hAnsi="Narkisim" w:cs="Narkisim"/>
          <w:sz w:val="28"/>
          <w:rtl/>
        </w:rPr>
      </w:pPr>
      <w:r>
        <w:rPr>
          <w:rFonts w:ascii="Narkisim" w:hAnsi="Narkisim" w:cs="Narkisim"/>
          <w:sz w:val="28"/>
          <w:rtl/>
        </w:rPr>
        <w:t>****</w:t>
      </w:r>
    </w:p>
    <w:p w:rsidR="005456EA" w:rsidRDefault="005456EA" w:rsidP="005456EA"/>
    <w:p w:rsidR="005456EA" w:rsidRDefault="005456EA" w:rsidP="005456EA">
      <w:pPr>
        <w:rPr>
          <w:rFonts w:ascii="Miriam" w:hAnsi="Miriam" w:cs="Miriam"/>
        </w:rPr>
      </w:pPr>
      <w:r>
        <w:rPr>
          <w:rFonts w:ascii="Miriam" w:hAnsi="Miriam" w:cs="Miriam"/>
          <w:rtl/>
        </w:rPr>
        <w:t xml:space="preserve">האם יכולים יורשים לטעון לחזקת שיתוף תחת המנוח ? </w:t>
      </w:r>
    </w:p>
    <w:p w:rsidR="005456EA" w:rsidRDefault="005456EA" w:rsidP="005456EA">
      <w:pPr>
        <w:rPr>
          <w:rFonts w:ascii="Miriam" w:hAnsi="Miriam" w:cs="Miriam"/>
          <w:rtl/>
        </w:rPr>
      </w:pPr>
    </w:p>
    <w:p w:rsidR="005456EA" w:rsidRDefault="005456EA" w:rsidP="005456EA">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לשאלה זו יש להשיב בחיוב, ונביא בצפורן הזרת מתוך הפסיקה הנוגעת לעניין,  שכן יש בה לשרת אותנו בשאלה העקרונית לה נדרש בהמשך הדברים -  האם חלה התיישנות על תביעת המערערת</w:t>
      </w:r>
      <w:r>
        <w:rPr>
          <w:rFonts w:ascii="Narkisim" w:hAnsi="Narkisim" w:cs="Narkisim" w:hint="cs"/>
          <w:sz w:val="28"/>
          <w:szCs w:val="28"/>
          <w:rtl/>
        </w:rPr>
        <w:t xml:space="preserve"> ?</w:t>
      </w:r>
      <w:r>
        <w:rPr>
          <w:rFonts w:ascii="Narkisim" w:hAnsi="Narkisim" w:cs="Narkisim"/>
          <w:sz w:val="28"/>
          <w:szCs w:val="28"/>
          <w:rtl/>
        </w:rPr>
        <w:t xml:space="preserve">  </w:t>
      </w:r>
    </w:p>
    <w:p w:rsidR="005456EA" w:rsidRDefault="005456EA" w:rsidP="005456EA">
      <w:pPr>
        <w:spacing w:line="360" w:lineRule="auto"/>
        <w:ind w:left="84"/>
        <w:rPr>
          <w:rFonts w:ascii="Narkisim" w:hAnsi="Narkisim" w:cs="Narkisim"/>
          <w:sz w:val="28"/>
          <w:szCs w:val="28"/>
          <w:rtl/>
        </w:rPr>
      </w:pPr>
    </w:p>
    <w:p w:rsidR="005456EA" w:rsidRDefault="005456EA" w:rsidP="005456EA">
      <w:pPr>
        <w:spacing w:line="360" w:lineRule="auto"/>
        <w:ind w:left="84"/>
        <w:jc w:val="both"/>
        <w:rPr>
          <w:rFonts w:ascii="Narkisim" w:hAnsi="Narkisim" w:cs="Narkisim"/>
          <w:sz w:val="28"/>
          <w:szCs w:val="28"/>
          <w:rtl/>
        </w:rPr>
      </w:pPr>
      <w:r>
        <w:rPr>
          <w:rFonts w:ascii="Miriam" w:hAnsi="Miriam" w:cs="Miriam"/>
          <w:rtl/>
        </w:rPr>
        <w:t>בעניין וינפלד</w:t>
      </w:r>
      <w:r>
        <w:rPr>
          <w:rFonts w:ascii="Narkisim" w:hAnsi="Narkisim" w:cs="Narkisim"/>
          <w:sz w:val="28"/>
          <w:szCs w:val="28"/>
          <w:rtl/>
        </w:rPr>
        <w:t xml:space="preserve"> (ע"א 177/87 </w:t>
      </w:r>
      <w:r>
        <w:rPr>
          <w:rFonts w:ascii="Miriam" w:hAnsi="Miriam" w:cs="Miriam"/>
          <w:rtl/>
        </w:rPr>
        <w:t>וינפלד נ' מנהל מס שבח מקרקעין</w:t>
      </w:r>
      <w:r>
        <w:rPr>
          <w:rFonts w:ascii="Narkisim" w:hAnsi="Narkisim" w:cs="Narkisim"/>
          <w:sz w:val="28"/>
          <w:szCs w:val="28"/>
          <w:rtl/>
        </w:rPr>
        <w:t xml:space="preserve"> (1989) שינה בית המשפט העליון בהרכב 5 שופטים את ההלכה כפי שהיתה עד אותו מועד,  אשר קבעה, כי בן זוג אינו יכול לטעון לחזקת השיתוף אם לא תבע זאת בחיי בן זוגו או אחר פטירתו קודם לרישום צו הירושה (ע"א 388/76  </w:t>
      </w:r>
      <w:r>
        <w:rPr>
          <w:rFonts w:ascii="Miriam" w:hAnsi="Miriam" w:cs="Miriam"/>
          <w:rtl/>
        </w:rPr>
        <w:t>כבשני נ' מנהל מס שבח מקרקעין</w:t>
      </w:r>
      <w:r>
        <w:rPr>
          <w:rFonts w:ascii="Narkisim" w:hAnsi="Narkisim" w:cs="Narkisim"/>
          <w:sz w:val="28"/>
          <w:szCs w:val="28"/>
          <w:rtl/>
        </w:rPr>
        <w:t xml:space="preserve"> (1977)). בית המשפט </w:t>
      </w:r>
      <w:r>
        <w:rPr>
          <w:rFonts w:ascii="Miriam" w:hAnsi="Miriam" w:cs="Miriam"/>
          <w:rtl/>
        </w:rPr>
        <w:t>בעניין וינפלד</w:t>
      </w:r>
      <w:r>
        <w:rPr>
          <w:rFonts w:ascii="Narkisim" w:hAnsi="Narkisim" w:cs="Narkisim"/>
          <w:sz w:val="28"/>
          <w:szCs w:val="28"/>
          <w:rtl/>
        </w:rPr>
        <w:t xml:space="preserve"> קבע כי יש לאפשר לבן זוג לטעון ולהוכיח את חזקת השיתוף, גם אם הוא עושה זאת שנים רבות לאחר שנוצר השיתוף, ואין לומר שויתר על זכויותיו מכח חזקת השיתוף למרות שלא טען להן בהזדמנויות קודמות, וזאת אף לאחר הוצאת צו ירושה המתעלם מן השיתוף. </w:t>
      </w:r>
    </w:p>
    <w:p w:rsidR="005456EA" w:rsidRDefault="005456EA" w:rsidP="005456EA">
      <w:pPr>
        <w:ind w:left="84"/>
        <w:rPr>
          <w:rFonts w:ascii="Narkisim"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הלכה זו צומצמה במידת מה </w:t>
      </w:r>
      <w:r>
        <w:rPr>
          <w:rFonts w:ascii="Miriam" w:hAnsi="Miriam" w:cs="Miriam"/>
          <w:rtl/>
        </w:rPr>
        <w:t>בעניין יהלום</w:t>
      </w:r>
      <w:r>
        <w:rPr>
          <w:rFonts w:ascii="Narkisim" w:hAnsi="Narkisim" w:cs="Narkisim"/>
          <w:sz w:val="28"/>
          <w:szCs w:val="28"/>
          <w:rtl/>
        </w:rPr>
        <w:t xml:space="preserve"> (ע"א 5774/91</w:t>
      </w:r>
      <w:r>
        <w:rPr>
          <w:rFonts w:ascii="Miriam" w:hAnsi="Miriam" w:cs="Miriam"/>
          <w:rtl/>
        </w:rPr>
        <w:t xml:space="preserve"> מרים יהלום נ. מנהל מס שבח מקרקעין בחיפה</w:t>
      </w:r>
      <w:r>
        <w:rPr>
          <w:rFonts w:ascii="Narkisim" w:hAnsi="Narkisim" w:cs="Narkisim"/>
          <w:sz w:val="28"/>
          <w:szCs w:val="28"/>
          <w:rtl/>
        </w:rPr>
        <w:t xml:space="preserve"> (1994)) בה נקבע כי כאשר נפטר אחד מבני הזוג ובן הזוג האחר לא תבע במועד כלשהו בחייו את זכויותיו על פי חזקת השיתוף </w:t>
      </w:r>
      <w:r>
        <w:rPr>
          <w:rFonts w:ascii="Narkisim" w:hAnsi="Narkisim" w:cs="Narkisim"/>
          <w:sz w:val="28"/>
          <w:szCs w:val="28"/>
          <w:u w:val="single"/>
          <w:rtl/>
        </w:rPr>
        <w:t>למרות שהיתה לו הזדמנות סבירה לעשות כן</w:t>
      </w:r>
      <w:r>
        <w:rPr>
          <w:rFonts w:ascii="Narkisim" w:hAnsi="Narkisim" w:cs="Narkisim"/>
          <w:sz w:val="28"/>
          <w:szCs w:val="28"/>
          <w:rtl/>
        </w:rPr>
        <w:t xml:space="preserve">, יש לראותו כמי שויתר על זכותו להחיל לגביו את חזקת השיתוף. מאידך הובהר </w:t>
      </w:r>
      <w:r>
        <w:rPr>
          <w:rFonts w:ascii="Miriam" w:hAnsi="Miriam" w:cs="Miriam"/>
          <w:rtl/>
        </w:rPr>
        <w:t>בעניין יהלום</w:t>
      </w:r>
      <w:r>
        <w:rPr>
          <w:rFonts w:ascii="Narkisim" w:hAnsi="Narkisim" w:cs="Narkisim"/>
          <w:sz w:val="28"/>
          <w:szCs w:val="28"/>
          <w:rtl/>
        </w:rPr>
        <w:t xml:space="preserve"> כי אין מניעה כי טענת חזקת השיתוף תעלה אף על ידי יורשיו של הנפטר. ונחדד  -  </w:t>
      </w:r>
    </w:p>
    <w:p w:rsidR="005456EA" w:rsidRDefault="005456EA" w:rsidP="005456EA">
      <w:pPr>
        <w:ind w:left="84"/>
        <w:rPr>
          <w:rFonts w:ascii="Narkisim" w:hAnsi="Narkisim" w:cs="Narkisim"/>
          <w:sz w:val="28"/>
          <w:szCs w:val="28"/>
          <w:rtl/>
        </w:rPr>
      </w:pPr>
    </w:p>
    <w:p w:rsidR="005456EA" w:rsidRDefault="005456EA" w:rsidP="005456EA">
      <w:pPr>
        <w:spacing w:line="360" w:lineRule="auto"/>
        <w:ind w:left="84"/>
        <w:jc w:val="both"/>
        <w:rPr>
          <w:rFonts w:ascii="Narkisim" w:hAnsi="Narkisim" w:cs="Narkisim"/>
          <w:sz w:val="28"/>
          <w:szCs w:val="28"/>
          <w:rtl/>
        </w:rPr>
      </w:pPr>
      <w:r>
        <w:rPr>
          <w:rFonts w:ascii="Miriam" w:hAnsi="Miriam" w:cs="Miriam"/>
          <w:rtl/>
        </w:rPr>
        <w:t>בעניין יהלום</w:t>
      </w:r>
      <w:r>
        <w:rPr>
          <w:rFonts w:ascii="Narkisim" w:hAnsi="Narkisim" w:cs="Narkisim"/>
          <w:sz w:val="28"/>
          <w:szCs w:val="28"/>
          <w:rtl/>
        </w:rPr>
        <w:t xml:space="preserve"> עמד בית המשפט על כך שחזקת השיתוף היא חזקה אשר יש להפעילה ולטעון לה אחרת מי שהיא עומדת לו, לכאורה, יראה כמי שויתר עליה, ובלשונו של בית המשפט – </w:t>
      </w:r>
    </w:p>
    <w:p w:rsidR="005456EA" w:rsidRDefault="005456EA" w:rsidP="005456EA">
      <w:pPr>
        <w:ind w:left="84"/>
        <w:rPr>
          <w:rFonts w:ascii="Narkisim" w:hAnsi="Narkisim" w:cs="Narkisim"/>
          <w:sz w:val="28"/>
          <w:szCs w:val="28"/>
          <w:rtl/>
        </w:rPr>
      </w:pP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"זכותו של בן הזוג היא זכות</w:t>
      </w:r>
      <w:r>
        <w:rPr>
          <w:rFonts w:ascii="Narkisim" w:hAnsi="Narkisim" w:cs="Narkisim"/>
          <w:sz w:val="28"/>
          <w:szCs w:val="28"/>
        </w:rPr>
        <w:t xml:space="preserve"> </w:t>
      </w:r>
      <w:r>
        <w:rPr>
          <w:rFonts w:ascii="Narkisim" w:hAnsi="Narkisim" w:cs="Narkisim"/>
          <w:sz w:val="28"/>
          <w:szCs w:val="28"/>
          <w:rtl/>
        </w:rPr>
        <w:t>ערטילאית, הטעונה הכרה רשמית. כל עוד לא הוכרה והופעלה חזקת השיתוף, על יסוד הנסיבות הנדרשות להקימה, אין כל אפשרות לסתור את ההנחה הלכאורית העולה מרישום הבעלות על שם אחד מבני הזוג בלבד או מן ההחזקה הבלעדית שהייתה לו בנכס. אם יחפוץ בן הזוג האחר להפעיל ולממש את זכויותי בנכסים, כגון: לרשום בעלותו בפנקסי המקרקעין</w:t>
      </w:r>
      <w:r>
        <w:rPr>
          <w:rFonts w:ascii="Narkisim" w:hAnsi="Narkisim" w:cs="Narkisim"/>
          <w:sz w:val="28"/>
          <w:szCs w:val="28"/>
        </w:rPr>
        <w:t>,</w:t>
      </w:r>
      <w:r>
        <w:rPr>
          <w:rFonts w:ascii="Narkisim" w:hAnsi="Narkisim" w:cs="Narkisim"/>
          <w:sz w:val="28"/>
          <w:szCs w:val="28"/>
          <w:rtl/>
        </w:rPr>
        <w:t xml:space="preserve"> להפחית את שומת המס המוטל עליהם וכיוצא בזה, לא יוכל לעשות כן ללא ההכרה הרשמית בחלקו. לשם כך, יהא עליו לפנות תחילה לבית המשפט ולטעון לתחולתה של חזקת השיתוף"</w:t>
      </w:r>
    </w:p>
    <w:p w:rsidR="005456EA" w:rsidRDefault="005456EA" w:rsidP="005456EA">
      <w:pPr>
        <w:tabs>
          <w:tab w:val="left" w:pos="288"/>
          <w:tab w:val="left" w:pos="720"/>
          <w:tab w:val="left" w:pos="1296"/>
        </w:tabs>
        <w:autoSpaceDE w:val="0"/>
        <w:autoSpaceDN w:val="0"/>
        <w:adjustRightInd w:val="0"/>
        <w:spacing w:after="80" w:line="260" w:lineRule="exact"/>
        <w:ind w:left="84"/>
        <w:jc w:val="both"/>
        <w:rPr>
          <w:rFonts w:ascii="Narkisim" w:hAnsi="Narkisim" w:cs="Narkisim"/>
          <w:sz w:val="28"/>
          <w:szCs w:val="28"/>
          <w:rtl/>
        </w:rPr>
      </w:pPr>
    </w:p>
    <w:p w:rsidR="005456EA" w:rsidRDefault="005456EA" w:rsidP="005456EA">
      <w:pPr>
        <w:tabs>
          <w:tab w:val="left" w:pos="288"/>
          <w:tab w:val="left" w:pos="720"/>
          <w:tab w:val="left" w:pos="1296"/>
        </w:tabs>
        <w:autoSpaceDE w:val="0"/>
        <w:autoSpaceDN w:val="0"/>
        <w:adjustRightInd w:val="0"/>
        <w:spacing w:after="80" w:line="360" w:lineRule="auto"/>
        <w:ind w:left="84"/>
        <w:jc w:val="both"/>
        <w:rPr>
          <w:rFonts w:ascii="Narkisim" w:hAnsi="Narkisim" w:cs="Narkisim"/>
          <w:sz w:val="28"/>
          <w:szCs w:val="28"/>
          <w:rtl/>
        </w:rPr>
      </w:pPr>
      <w:r>
        <w:rPr>
          <w:rFonts w:ascii="Narkisim" w:hAnsi="Narkisim" w:cs="Narkisim"/>
          <w:sz w:val="28"/>
          <w:szCs w:val="28"/>
          <w:rtl/>
        </w:rPr>
        <w:t xml:space="preserve">כך הובהר, כאמור, כי הזכות לטעון לחזקת השיתוף אינה עומדת אך ורק לבן הזוג אלא באופן עקרוני היא עומדת גם ליורשיו – </w:t>
      </w: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 xml:space="preserve">"אין מניעה עקרונית כללית, כזו העולה מסיווג הזכות כפרסונאלית גרידא, שיש בה כדי לשלול מיורשיו של בן-זוג שנפטר, בכל המקרים ובכל הנסיבות, את האפשרות לבוא בנעליו של המנוח ולתבוע הכרה בזכויותיו מכוח הלכת השיתוף. מניעה כזו עשויה לקום מטעם אחר, וזאת מקום שיש לראות את בן הזוג שנפטר כמוותר על זכותו לתבוע </w:t>
      </w:r>
      <w:r>
        <w:rPr>
          <w:rFonts w:ascii="Narkisim" w:hAnsi="Narkisim" w:cs="Narkisim"/>
          <w:sz w:val="28"/>
          <w:szCs w:val="28"/>
          <w:rtl/>
        </w:rPr>
        <w:lastRenderedPageBreak/>
        <w:t xml:space="preserve">להפעיל החזקה ולהכיר בזכויותיו... </w:t>
      </w:r>
      <w:r>
        <w:rPr>
          <w:rFonts w:ascii="Narkisim" w:hAnsi="Narkisim" w:cs="Narkisim"/>
          <w:sz w:val="28"/>
          <w:szCs w:val="28"/>
          <w:u w:val="single"/>
          <w:rtl/>
        </w:rPr>
        <w:t>אין זה מן הצדק ואין זה מן ההיגיון לסווג את הזכות למימוש הלכת השיתוף בנכסים כזכות פרסונאלית גרידא, וכפועל יוצא, למנוע כל תביעה בעניין זה מצד יורשי בן-זוג שנפטר</w:t>
      </w:r>
      <w:r>
        <w:rPr>
          <w:rFonts w:ascii="Narkisim" w:hAnsi="Narkisim" w:cs="Narkisim"/>
          <w:sz w:val="28"/>
          <w:szCs w:val="28"/>
          <w:rtl/>
        </w:rPr>
        <w:t>" (הדגשה שלנו).</w:t>
      </w:r>
    </w:p>
    <w:p w:rsidR="005456EA" w:rsidRDefault="005456EA" w:rsidP="005456EA">
      <w:pPr>
        <w:ind w:left="84"/>
        <w:rPr>
          <w:rFonts w:ascii="Narkisim" w:hAnsi="Narkisim" w:cs="Narkisim"/>
          <w:sz w:val="28"/>
          <w:szCs w:val="28"/>
          <w:rtl/>
        </w:rPr>
      </w:pPr>
    </w:p>
    <w:p w:rsidR="005456EA" w:rsidRDefault="005456EA" w:rsidP="005456EA">
      <w:pPr>
        <w:spacing w:line="360" w:lineRule="auto"/>
        <w:ind w:left="84"/>
        <w:jc w:val="both"/>
        <w:rPr>
          <w:rFonts w:ascii="Narkisim" w:hAnsi="Narkisim" w:cs="Narkisim"/>
          <w:sz w:val="28"/>
          <w:szCs w:val="28"/>
          <w:rtl/>
        </w:rPr>
      </w:pPr>
      <w:r>
        <w:rPr>
          <w:rFonts w:ascii="Narkisim" w:hAnsi="Narkisim" w:cs="Narkisim"/>
          <w:sz w:val="28"/>
          <w:szCs w:val="28"/>
          <w:rtl/>
        </w:rPr>
        <w:t xml:space="preserve">בצד זה נקבע כי יש להגביל את זכותו של היורש לטעון לחזקת השיתוף, כאשר עולה ומשתמע ויתור של בן הזוג בחייו על זכותו זו -  </w:t>
      </w:r>
    </w:p>
    <w:p w:rsidR="005456EA" w:rsidRDefault="005456EA" w:rsidP="005456EA">
      <w:pPr>
        <w:ind w:left="84"/>
        <w:rPr>
          <w:rFonts w:ascii="Narkisim" w:hAnsi="Narkisim" w:cs="Narkisim"/>
          <w:sz w:val="28"/>
          <w:szCs w:val="28"/>
          <w:rtl/>
        </w:rPr>
      </w:pPr>
    </w:p>
    <w:p w:rsidR="005456EA" w:rsidRDefault="005456EA" w:rsidP="005456EA">
      <w:pPr>
        <w:ind w:left="1076" w:right="993"/>
        <w:jc w:val="both"/>
        <w:rPr>
          <w:rFonts w:ascii="Narkisim" w:hAnsi="Narkisim" w:cs="Narkisim"/>
          <w:sz w:val="28"/>
          <w:szCs w:val="28"/>
          <w:rtl/>
        </w:rPr>
      </w:pPr>
      <w:r>
        <w:rPr>
          <w:rFonts w:ascii="Narkisim" w:hAnsi="Narkisim" w:cs="Narkisim"/>
          <w:sz w:val="28"/>
          <w:szCs w:val="28"/>
          <w:rtl/>
        </w:rPr>
        <w:t>"כאשר הלך אחד מבני הזוג לעולמו, בלי שעמד במועד כלשהו בחייו על זכויותיו על-פי חזקת השיתוף בנכסים, ובלי שנתן ביטוי לרצונו לממשן, וזאת על-אף הזדמנות סבירה שהייתה לו לעשות כן, כי אז יש לראותו כמוותר על זכותו לבקש להחיל עליו את חזקת השיתוף ולהכיר פורמאלית בזכויותיו על פיה, על כל המשתמע מכך. מסקנתי זו מעוגנת באופייה ובטיבה של חזקת השיתוף, במהות הרעיון וההצדקה המונחים ביסודה, באופן שבו התפתחו ונתחמו היקפה וגבולותיה ובשיקולי מדיניות משפטית ראויה".</w:t>
      </w:r>
    </w:p>
    <w:p w:rsidR="005456EA" w:rsidRDefault="005456EA" w:rsidP="005456EA">
      <w:pPr>
        <w:ind w:left="84"/>
        <w:rPr>
          <w:rFonts w:ascii="Narkisim" w:hAnsi="Narkisim" w:cs="Narkisim"/>
          <w:sz w:val="28"/>
          <w:szCs w:val="28"/>
          <w:rtl/>
        </w:rPr>
      </w:pPr>
    </w:p>
    <w:p w:rsidR="005456EA" w:rsidRDefault="005456EA" w:rsidP="005456EA">
      <w:pPr>
        <w:spacing w:line="360" w:lineRule="auto"/>
        <w:ind w:left="84"/>
        <w:jc w:val="both"/>
        <w:rPr>
          <w:rFonts w:ascii="Narkisim" w:hAnsi="Narkisim" w:cs="Narkisim"/>
          <w:sz w:val="28"/>
          <w:szCs w:val="28"/>
          <w:rtl/>
        </w:rPr>
      </w:pPr>
      <w:r>
        <w:rPr>
          <w:rFonts w:ascii="Narkisim" w:hAnsi="Narkisim" w:cs="Narkisim"/>
          <w:sz w:val="28"/>
          <w:szCs w:val="28"/>
          <w:rtl/>
        </w:rPr>
        <w:t xml:space="preserve">למסקנה זו יש צד הופכי, רוצה לומר -  ככל שלא ניתנה לבן הזוג הזדמנות סבירה לעמוד בחייו על חזקת השיתוף, לא נראה בו כמי שויתר עליה ואף יורשו יוכל לטעון לה תחתיו.  וכדברי כב' הש' לוין  – </w:t>
      </w: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 xml:space="preserve">"קיימים </w:t>
      </w:r>
      <w:r>
        <w:rPr>
          <w:rFonts w:ascii="Narkisim" w:hAnsi="Narkisim" w:cs="Narkisim"/>
          <w:sz w:val="28"/>
          <w:szCs w:val="28"/>
          <w:u w:val="single"/>
          <w:rtl/>
        </w:rPr>
        <w:t>מקרים שבהם מן הראוי לאפשר ליורשים</w:t>
      </w:r>
      <w:r>
        <w:rPr>
          <w:rFonts w:ascii="Narkisim" w:hAnsi="Narkisim" w:cs="Narkisim"/>
          <w:sz w:val="28"/>
          <w:szCs w:val="28"/>
          <w:rtl/>
        </w:rPr>
        <w:t xml:space="preserve"> לפנות לבית המשפט בבקשה להפעיל את הלכת השיתוף, אף-על-פי שבן הזוג עצמו לא גילה בחייו דעתו כי הוא מעוניין במימושה</w:t>
      </w:r>
      <w:r>
        <w:rPr>
          <w:rFonts w:ascii="Narkisim" w:hAnsi="Narkisim" w:cs="Narkisim"/>
          <w:sz w:val="28"/>
          <w:szCs w:val="28"/>
        </w:rPr>
        <w:t>.</w:t>
      </w: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Pr>
      </w:pPr>
      <w:r>
        <w:rPr>
          <w:rFonts w:ascii="Narkisim" w:hAnsi="Narkisim" w:cs="Narkisim"/>
          <w:sz w:val="28"/>
          <w:szCs w:val="28"/>
          <w:rtl/>
        </w:rPr>
        <w:t>טול, לדוגמה, בני-זוג אשר קיימו במשך שנים רבות חיי משפחה למופת, תרמו</w:t>
      </w:r>
      <w:r>
        <w:rPr>
          <w:rFonts w:ascii="Narkisim" w:hAnsi="Narkisim" w:cs="Narkisim"/>
          <w:sz w:val="28"/>
          <w:szCs w:val="28"/>
        </w:rPr>
        <w:t xml:space="preserve"> </w:t>
      </w:r>
      <w:r>
        <w:rPr>
          <w:rFonts w:ascii="Narkisim" w:hAnsi="Narkisim" w:cs="Narkisim"/>
          <w:sz w:val="28"/>
          <w:szCs w:val="28"/>
          <w:rtl/>
        </w:rPr>
        <w:t>כל אחד את חלקו לטיפוח התא המשפחתי ולשגשוגו, וחייהם התנהלו על מי מנוחות</w:t>
      </w:r>
      <w:r>
        <w:rPr>
          <w:rFonts w:ascii="Narkisim" w:hAnsi="Narkisim" w:cs="Narkisim"/>
          <w:sz w:val="28"/>
          <w:szCs w:val="28"/>
        </w:rPr>
        <w:t>.</w:t>
      </w: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Pr>
      </w:pPr>
      <w:r>
        <w:rPr>
          <w:rFonts w:ascii="Narkisim" w:hAnsi="Narkisim" w:cs="Narkisim"/>
          <w:sz w:val="28"/>
          <w:szCs w:val="28"/>
          <w:rtl/>
        </w:rPr>
        <w:lastRenderedPageBreak/>
        <w:t>הבעל הוא שיצא לעבודה ודאג לכלכלת המשפחה, בעוד האישה מילאה חלקה בניהול משק הבית ודאגה לסיפוק צורכי הבעל והילדים. ברבות הימים עשה הבעל חיל בעסקיו, צבר רכוש לא מבוטל, וכמי שטיפל בכל ענייני הכספים של המשפחה וניהל אותם, נרשם הרכוש בשמו בלבד.</w:t>
      </w:r>
    </w:p>
    <w:p w:rsidR="005456EA" w:rsidRDefault="005456EA" w:rsidP="005456EA">
      <w:pPr>
        <w:ind w:left="1076" w:right="993"/>
        <w:jc w:val="both"/>
        <w:rPr>
          <w:rFonts w:ascii="Narkisim" w:hAnsi="Narkisim" w:cs="Narkisim"/>
          <w:sz w:val="28"/>
          <w:szCs w:val="28"/>
          <w:rtl/>
        </w:rPr>
      </w:pPr>
      <w:r>
        <w:rPr>
          <w:rFonts w:ascii="Narkisim" w:hAnsi="Narkisim" w:cs="Narkisim"/>
          <w:sz w:val="28"/>
          <w:szCs w:val="28"/>
          <w:rtl/>
        </w:rPr>
        <w:t>למרבית הצער נפטרה האישה לבית עולמה, הותירה אחריה את בעלה וילדיה. האם ניתן לומר, בשל כך בלבד שאינה עוד בין החיים, כי נסתם הגולל על זכויותיה, המשותפות לה ולבעלה? האם ייוותר הרכוש כולו בידי הבעל, שיוכל לעשות בו כטוב בעיניו?"</w:t>
      </w:r>
    </w:p>
    <w:p w:rsidR="005456EA" w:rsidRDefault="005456EA" w:rsidP="005456EA">
      <w:pPr>
        <w:ind w:left="84"/>
        <w:rPr>
          <w:rFonts w:ascii="Narkisim"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w:t>
      </w:r>
      <w:r>
        <w:rPr>
          <w:rFonts w:ascii="Miriam" w:hAnsi="Miriam" w:cs="Miriam"/>
          <w:rtl/>
        </w:rPr>
        <w:t>בעניין יהלום</w:t>
      </w:r>
      <w:r>
        <w:rPr>
          <w:rFonts w:ascii="Narkisim" w:hAnsi="Narkisim" w:cs="Narkisim"/>
          <w:sz w:val="28"/>
          <w:szCs w:val="28"/>
          <w:rtl/>
        </w:rPr>
        <w:t xml:space="preserve"> הוסיף ובירר מתי נראה בבן זוג ככזה שויתר על זכותו מכוח חזקת השיתוף, וקובע כי </w:t>
      </w:r>
      <w:r>
        <w:rPr>
          <w:rFonts w:ascii="Narkisim" w:hAnsi="Narkisim" w:cs="Narkisim" w:hint="cs"/>
          <w:sz w:val="28"/>
          <w:szCs w:val="28"/>
          <w:rtl/>
        </w:rPr>
        <w:t xml:space="preserve">זאת נעשה </w:t>
      </w:r>
      <w:r>
        <w:rPr>
          <w:rFonts w:ascii="Narkisim" w:hAnsi="Narkisim" w:cs="Narkisim"/>
          <w:sz w:val="28"/>
          <w:szCs w:val="28"/>
          <w:rtl/>
        </w:rPr>
        <w:t xml:space="preserve">רק כאשר </w:t>
      </w:r>
      <w:r>
        <w:rPr>
          <w:rFonts w:ascii="Narkisim" w:hAnsi="Narkisim" w:cs="Narkisim" w:hint="cs"/>
          <w:sz w:val="28"/>
          <w:szCs w:val="28"/>
          <w:rtl/>
        </w:rPr>
        <w:t xml:space="preserve">נשתכנע כי </w:t>
      </w:r>
      <w:r>
        <w:rPr>
          <w:rFonts w:ascii="Narkisim" w:hAnsi="Narkisim" w:cs="Narkisim"/>
          <w:sz w:val="28"/>
          <w:szCs w:val="28"/>
          <w:rtl/>
        </w:rPr>
        <w:t>הייתה לו הזדמנות סבירה לטעון לקיומו של שיתוף בנכסים והוא נמנע מלעשות זאת</w:t>
      </w:r>
      <w:r>
        <w:rPr>
          <w:rFonts w:ascii="Narkisim" w:hAnsi="Narkisim" w:cs="Narkisim" w:hint="cs"/>
          <w:sz w:val="28"/>
          <w:szCs w:val="28"/>
          <w:rtl/>
        </w:rPr>
        <w:t>, ברי אפוא,  שאנו נדרשים לביורור עניין עובדתי</w:t>
      </w:r>
      <w:r>
        <w:rPr>
          <w:rFonts w:ascii="Narkisim" w:hAnsi="Narkisim" w:cs="Narkisim"/>
          <w:sz w:val="28"/>
          <w:szCs w:val="28"/>
          <w:rtl/>
        </w:rPr>
        <w:t>.  בית המשפט אינו קובע מסמרות בשאלה מהי אותה "הזדמנות סבירה", ואולם מבהיר כי שעה שבן הזוג ניהל חיי נישואין שלווים ותקינים ברי ופשוט כי לא קמה אותה הזדמנות סבירה להעלות את טענת חזקת השיתוף בחיי בני הזוג, שכן אין מי ש"ערער" על אותה איצטלת והילת שותפות המקיפה לכאורה את בני הזוג.</w:t>
      </w:r>
    </w:p>
    <w:p w:rsidR="005456EA" w:rsidRDefault="005456EA" w:rsidP="005456EA">
      <w:pPr>
        <w:ind w:left="84"/>
        <w:rPr>
          <w:rFonts w:ascii="Narkisim" w:hAnsi="Narkisim" w:cs="Narkisim"/>
          <w:sz w:val="28"/>
          <w:szCs w:val="28"/>
        </w:rPr>
      </w:pPr>
    </w:p>
    <w:p w:rsidR="005456EA" w:rsidRDefault="005456EA" w:rsidP="005456EA">
      <w:pPr>
        <w:spacing w:line="360" w:lineRule="auto"/>
        <w:ind w:left="84"/>
        <w:jc w:val="both"/>
        <w:rPr>
          <w:rFonts w:ascii="Narkisim" w:hAnsi="Narkisim" w:cs="Narkisim"/>
          <w:sz w:val="28"/>
          <w:szCs w:val="28"/>
        </w:rPr>
      </w:pPr>
      <w:r>
        <w:rPr>
          <w:rFonts w:ascii="Narkisim" w:hAnsi="Narkisim" w:cs="Narkisim"/>
          <w:sz w:val="28"/>
          <w:szCs w:val="28"/>
          <w:rtl/>
        </w:rPr>
        <w:t xml:space="preserve">נעיר בהערת אגב, כי קדמו לפסק דין </w:t>
      </w:r>
      <w:r>
        <w:rPr>
          <w:rFonts w:ascii="Miriam" w:hAnsi="Miriam" w:cs="Miriam"/>
          <w:rtl/>
        </w:rPr>
        <w:t>בעניין יהלום</w:t>
      </w:r>
      <w:r>
        <w:rPr>
          <w:rFonts w:ascii="Narkisim" w:hAnsi="Narkisim" w:cs="Narkisim"/>
          <w:sz w:val="28"/>
          <w:szCs w:val="28"/>
          <w:rtl/>
        </w:rPr>
        <w:t xml:space="preserve">, בנושא מתן רשות ליורש לטעון טענת חזקת שיתוף תחת המוריש, פסקי דין רבים דוגמת ע"א 52/80 </w:t>
      </w:r>
      <w:r>
        <w:rPr>
          <w:rFonts w:ascii="Miriam" w:hAnsi="Miriam" w:cs="Miriam"/>
          <w:rtl/>
        </w:rPr>
        <w:t xml:space="preserve">שחר נ.  פרידמן </w:t>
      </w:r>
      <w:r>
        <w:rPr>
          <w:rFonts w:ascii="Narkisim" w:hAnsi="Narkisim" w:cs="Narkisim"/>
          <w:sz w:val="28"/>
          <w:szCs w:val="28"/>
          <w:rtl/>
        </w:rPr>
        <w:t xml:space="preserve">(1984); ע"א 92/89 </w:t>
      </w:r>
      <w:r>
        <w:rPr>
          <w:rFonts w:ascii="Miriam" w:hAnsi="Miriam" w:cs="Miriam"/>
          <w:rtl/>
        </w:rPr>
        <w:t>עובדיה נ. סיבוהי</w:t>
      </w:r>
      <w:r>
        <w:rPr>
          <w:rFonts w:ascii="Narkisim" w:hAnsi="Narkisim" w:cs="Narkisim"/>
          <w:sz w:val="28"/>
          <w:szCs w:val="28"/>
          <w:rtl/>
        </w:rPr>
        <w:t xml:space="preserve"> (1991) ואחרים, ואולם דומה כי על אף שכך נחשב פסק הדין </w:t>
      </w:r>
      <w:r>
        <w:rPr>
          <w:rFonts w:ascii="Miriam" w:hAnsi="Miriam" w:cs="Miriam"/>
          <w:rtl/>
        </w:rPr>
        <w:t>בעניין יהלום</w:t>
      </w:r>
      <w:r>
        <w:rPr>
          <w:rFonts w:ascii="Narkisim" w:hAnsi="Narkisim" w:cs="Narkisim"/>
          <w:sz w:val="28"/>
          <w:szCs w:val="28"/>
          <w:rtl/>
        </w:rPr>
        <w:t xml:space="preserve"> פסק הדין המנחה בעניין.  </w:t>
      </w:r>
    </w:p>
    <w:p w:rsidR="005456EA" w:rsidRDefault="005456EA" w:rsidP="005456EA">
      <w:pPr>
        <w:ind w:left="84"/>
        <w:rPr>
          <w:rFonts w:ascii="Narkisim"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מכל מקום, על אף  האמור מעלה, בית המשפט </w:t>
      </w:r>
      <w:r>
        <w:rPr>
          <w:rFonts w:ascii="Miriam" w:hAnsi="Miriam" w:cs="Miriam"/>
          <w:rtl/>
        </w:rPr>
        <w:t xml:space="preserve">בעניין יהלום </w:t>
      </w:r>
      <w:r>
        <w:rPr>
          <w:rFonts w:ascii="Narkisim" w:hAnsi="Narkisim" w:cs="Narkisim"/>
          <w:sz w:val="28"/>
          <w:szCs w:val="28"/>
          <w:rtl/>
        </w:rPr>
        <w:t xml:space="preserve">סבר, כי אין מקום לאפשר העלאת טענת חזקת השיתוף ליורשים לאחר פטירתם של </w:t>
      </w:r>
      <w:r>
        <w:rPr>
          <w:rFonts w:ascii="Narkisim" w:hAnsi="Narkisim" w:cs="Narkisim"/>
          <w:sz w:val="28"/>
          <w:szCs w:val="28"/>
          <w:u w:val="single"/>
          <w:rtl/>
        </w:rPr>
        <w:t xml:space="preserve">שני </w:t>
      </w:r>
      <w:r>
        <w:rPr>
          <w:rFonts w:ascii="Narkisim" w:hAnsi="Narkisim" w:cs="Narkisim"/>
          <w:sz w:val="28"/>
          <w:szCs w:val="28"/>
          <w:rtl/>
        </w:rPr>
        <w:t xml:space="preserve">בני הזוג, שכן לסברתו יהא בכך משום "מתיחתה" של הלכה שנתקנה בבית המשפט אל מעבר לגבולות סבירים, וכי יש להחיל לעניין זה את עקרון ההתישנות הכללי, ובלשון של כב' הש' לוין – </w:t>
      </w:r>
    </w:p>
    <w:p w:rsidR="005456EA" w:rsidRDefault="005456EA" w:rsidP="005456EA">
      <w:pPr>
        <w:ind w:left="84"/>
        <w:rPr>
          <w:rFonts w:ascii="Narkisim" w:hAnsi="Narkisim" w:cs="Narkisim"/>
          <w:sz w:val="28"/>
          <w:szCs w:val="28"/>
          <w:rtl/>
        </w:rPr>
      </w:pP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 אם</w:t>
      </w:r>
      <w:r>
        <w:rPr>
          <w:rFonts w:ascii="Narkisim" w:hAnsi="Narkisim" w:cs="Narkisim"/>
          <w:sz w:val="28"/>
          <w:szCs w:val="28"/>
        </w:rPr>
        <w:t xml:space="preserve"> </w:t>
      </w:r>
      <w:r>
        <w:rPr>
          <w:rFonts w:ascii="Narkisim" w:hAnsi="Narkisim" w:cs="Narkisim"/>
          <w:sz w:val="28"/>
          <w:szCs w:val="28"/>
          <w:rtl/>
        </w:rPr>
        <w:t xml:space="preserve">נאפשר ליורשים להעלות טענות בדבר השיתוף בנכסים </w:t>
      </w:r>
      <w:r>
        <w:rPr>
          <w:rFonts w:ascii="Narkisim" w:hAnsi="Narkisim" w:cs="Narkisim"/>
          <w:sz w:val="28"/>
          <w:szCs w:val="28"/>
          <w:u w:val="single"/>
          <w:rtl/>
        </w:rPr>
        <w:t>לאחר מותם של שני בני הזוג</w:t>
      </w:r>
      <w:r>
        <w:rPr>
          <w:rFonts w:ascii="Narkisim" w:hAnsi="Narkisim" w:cs="Narkisim"/>
          <w:sz w:val="28"/>
          <w:szCs w:val="28"/>
          <w:rtl/>
        </w:rPr>
        <w:t>, כי אז נביא להתעוררותן של סיטואציות בעייתיות ובלתי רצויות. כדי להקים את חזקת השיתוף נדרש, כפי שכבר הבהרתי, להוכיח מה היה אורח חייהם של בני הזוג. והנה, אותם שניים, אשר על טיבם ואופיים של היחסים שביניהם מושתתת ונסמכת החזקה, אינם עוד בין החיים. אחרים (אפילו הם קרובי משפחה) הם אשר טוענים בשמם כיצד הסדירו את חייהם המשותפים, מה היה טיב יחסיהם ומהו משטר השיתוף שהנהיגו ביניהם, עניינים אשר מעצם טיבם מצויים, בראש ובראשונה, בידיעתם של בני הזוג עצמם.</w:t>
      </w: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אפשר שהמצב אינו כה חמור שעה שמדובר בילדיהם של בני הזוג, שהיו קרובים להוריהם ויכלו לעמוד, עד כמה שהדבר אפשרי, על מצב היחסים שררו ביניהם בעודם בחיים. אלא שאם לא נראה את בן הזוג כמוותר על זכותו לטעון לשיתוף בנכסים</w:t>
      </w:r>
      <w:r>
        <w:rPr>
          <w:rFonts w:ascii="Narkisim" w:hAnsi="Narkisim" w:cs="Narkisim"/>
          <w:sz w:val="28"/>
          <w:szCs w:val="28"/>
        </w:rPr>
        <w:t xml:space="preserve">, </w:t>
      </w:r>
      <w:r>
        <w:rPr>
          <w:rFonts w:ascii="Narkisim" w:hAnsi="Narkisim" w:cs="Narkisim"/>
          <w:sz w:val="28"/>
          <w:szCs w:val="28"/>
          <w:rtl/>
        </w:rPr>
        <w:t>מקום שלא עורר אותה עד ליום מותו, הרי שלא נוכל לעצור את מעבר הזכות גם הלאה, והיא תהא שמורה לא רק לילדיו אלא גם לנכדיו, לניניו ואין לדבר סוף. בית המשפט ימצא עצמו במצב אבסורדי ובלתי אפשרי, שבו יידרש להכריע מה היו טיבן ואופיין של מערכות יחסים שהתקיימו, חמישים, שמונים ואף מאה שנים קודם לכן. ודוק: כבר במקרה דנן מדובר במערכות יחסים שתחילתן בראשית המאה ופקיעתן במות אחד מבני הזוג, למעלה מעשרים שנה לפני שהובא העניין לפני בית המשפט"</w:t>
      </w:r>
    </w:p>
    <w:p w:rsidR="005456EA" w:rsidRDefault="005456EA" w:rsidP="005456EA">
      <w:pPr>
        <w:tabs>
          <w:tab w:val="left" w:pos="288"/>
          <w:tab w:val="left" w:pos="720"/>
          <w:tab w:val="left" w:pos="1296"/>
        </w:tabs>
        <w:autoSpaceDE w:val="0"/>
        <w:autoSpaceDN w:val="0"/>
        <w:adjustRightInd w:val="0"/>
        <w:spacing w:after="80" w:line="260" w:lineRule="exact"/>
        <w:ind w:left="84"/>
        <w:jc w:val="both"/>
        <w:rPr>
          <w:rFonts w:ascii="Narkisim" w:hAnsi="Narkisim" w:cs="Narkisim"/>
          <w:sz w:val="28"/>
          <w:szCs w:val="28"/>
          <w:rtl/>
        </w:rPr>
      </w:pPr>
    </w:p>
    <w:p w:rsidR="005456EA" w:rsidRDefault="005456EA" w:rsidP="005456EA">
      <w:pPr>
        <w:tabs>
          <w:tab w:val="left" w:pos="288"/>
          <w:tab w:val="left" w:pos="720"/>
          <w:tab w:val="left" w:pos="1296"/>
        </w:tabs>
        <w:autoSpaceDE w:val="0"/>
        <w:autoSpaceDN w:val="0"/>
        <w:adjustRightInd w:val="0"/>
        <w:spacing w:after="80" w:line="260" w:lineRule="exact"/>
        <w:ind w:left="84"/>
        <w:jc w:val="both"/>
        <w:rPr>
          <w:rFonts w:ascii="Narkisim" w:hAnsi="Narkisim" w:cs="Narkisim"/>
          <w:sz w:val="28"/>
          <w:szCs w:val="28"/>
          <w:rtl/>
        </w:rPr>
      </w:pPr>
      <w:r>
        <w:rPr>
          <w:rFonts w:ascii="Narkisim" w:hAnsi="Narkisim" w:cs="Narkisim"/>
          <w:sz w:val="28"/>
          <w:szCs w:val="28"/>
          <w:rtl/>
        </w:rPr>
        <w:t xml:space="preserve">ומכאן באה המסקנה, החשובה אף לענייננו, כי  – </w:t>
      </w:r>
    </w:p>
    <w:p w:rsidR="005456EA" w:rsidRDefault="005456EA" w:rsidP="005456EA">
      <w:pPr>
        <w:tabs>
          <w:tab w:val="left" w:pos="288"/>
          <w:tab w:val="left" w:pos="720"/>
          <w:tab w:val="left" w:pos="1296"/>
        </w:tabs>
        <w:autoSpaceDE w:val="0"/>
        <w:autoSpaceDN w:val="0"/>
        <w:adjustRightInd w:val="0"/>
        <w:spacing w:after="80" w:line="260" w:lineRule="exact"/>
        <w:ind w:left="84"/>
        <w:jc w:val="both"/>
        <w:rPr>
          <w:rFonts w:ascii="Narkisim" w:hAnsi="Narkisim" w:cs="Narkisim"/>
          <w:sz w:val="28"/>
          <w:szCs w:val="28"/>
          <w:rtl/>
        </w:rPr>
      </w:pPr>
    </w:p>
    <w:p w:rsidR="005456EA" w:rsidRDefault="005456EA" w:rsidP="005456EA">
      <w:pPr>
        <w:tabs>
          <w:tab w:val="left" w:pos="288"/>
          <w:tab w:val="left" w:pos="720"/>
          <w:tab w:val="left" w:pos="12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lastRenderedPageBreak/>
        <w:t xml:space="preserve"> "דומה כי תחימת גבולות ההלכה לשעת מותו של בן הזוג, מקום שהייתה לו</w:t>
      </w:r>
      <w:r>
        <w:rPr>
          <w:rFonts w:ascii="Narkisim" w:hAnsi="Narkisim" w:cs="Narkisim"/>
          <w:sz w:val="28"/>
          <w:szCs w:val="28"/>
        </w:rPr>
        <w:t xml:space="preserve"> </w:t>
      </w:r>
      <w:r>
        <w:rPr>
          <w:rFonts w:ascii="Narkisim" w:hAnsi="Narkisim" w:cs="Narkisim"/>
          <w:sz w:val="28"/>
          <w:szCs w:val="28"/>
          <w:rtl/>
        </w:rPr>
        <w:t xml:space="preserve">קודם לכן </w:t>
      </w:r>
      <w:r>
        <w:rPr>
          <w:rFonts w:ascii="Narkisim" w:hAnsi="Narkisim" w:cs="Narkisim"/>
          <w:sz w:val="28"/>
          <w:szCs w:val="28"/>
          <w:u w:val="single"/>
          <w:rtl/>
        </w:rPr>
        <w:t>הזדמנות סבירה</w:t>
      </w:r>
      <w:r>
        <w:rPr>
          <w:rFonts w:ascii="Narkisim" w:hAnsi="Narkisim" w:cs="Narkisim"/>
          <w:sz w:val="28"/>
          <w:szCs w:val="28"/>
          <w:rtl/>
        </w:rPr>
        <w:t xml:space="preserve"> להעלות את הטענה והוא לא עשה כן, היא "הנקודה הגיאומטרית", כלשונו של השופט ברק, הראויה והצודקת בעניין זה"</w:t>
      </w:r>
    </w:p>
    <w:p w:rsidR="005456EA" w:rsidRDefault="005456EA" w:rsidP="005456EA">
      <w:pPr>
        <w:ind w:left="84"/>
        <w:rPr>
          <w:rFonts w:ascii="Narkisim"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אלא שדרכו של עולם, הלכות נוטות להרחיב את מוטת כנפיהן ואת גבולן,  ועיון בפסיקת בתי המשפט שבאה אחר פסק הדין </w:t>
      </w:r>
      <w:r>
        <w:rPr>
          <w:rFonts w:ascii="Miriam" w:hAnsi="Miriam" w:cs="Miriam"/>
          <w:rtl/>
        </w:rPr>
        <w:t>בעניין יהלום</w:t>
      </w:r>
      <w:r>
        <w:rPr>
          <w:rFonts w:ascii="Narkisim" w:hAnsi="Narkisim" w:cs="Narkisim"/>
          <w:sz w:val="28"/>
          <w:szCs w:val="28"/>
          <w:rtl/>
        </w:rPr>
        <w:t xml:space="preserve"> יש בו ללמד כי לא אחת איפשרו בתי המשפט ליורשים לטעון לחזקת השיתוף אף אחר פטירת שני היורשים, לרוב כל עוד לא הוצא צו הירושה/ צו קיום צוואה אחר הנפטר השני. </w:t>
      </w:r>
    </w:p>
    <w:p w:rsidR="005456EA" w:rsidRDefault="005456EA" w:rsidP="005456EA">
      <w:pPr>
        <w:spacing w:line="360" w:lineRule="auto"/>
        <w:ind w:left="84"/>
        <w:jc w:val="both"/>
        <w:rPr>
          <w:rFonts w:ascii="Narkisim" w:hAnsi="Narkisim" w:cs="Narkisim"/>
          <w:sz w:val="28"/>
          <w:szCs w:val="28"/>
          <w:rtl/>
        </w:rPr>
      </w:pPr>
      <w:r>
        <w:rPr>
          <w:rFonts w:ascii="Narkisim" w:eastAsia="Calibri" w:hAnsi="Narkisim" w:cs="Narkisim"/>
          <w:sz w:val="28"/>
          <w:szCs w:val="28"/>
          <w:rtl/>
        </w:rPr>
        <w:t xml:space="preserve">כך </w:t>
      </w:r>
      <w:r>
        <w:rPr>
          <w:rFonts w:ascii="Narkisim" w:hAnsi="Narkisim" w:cs="Narkisim"/>
          <w:sz w:val="28"/>
          <w:szCs w:val="28"/>
          <w:rtl/>
        </w:rPr>
        <w:t xml:space="preserve">בה"פ 1327/96 </w:t>
      </w:r>
      <w:r>
        <w:rPr>
          <w:rFonts w:ascii="Miriam" w:hAnsi="Miriam" w:cs="Miriam"/>
          <w:rtl/>
        </w:rPr>
        <w:t>סירוטה ואח' נ' מנהל מס שבח מיסים</w:t>
      </w:r>
      <w:r>
        <w:rPr>
          <w:rFonts w:ascii="Narkisim" w:hAnsi="Narkisim" w:cs="Narkisim"/>
          <w:sz w:val="28"/>
          <w:szCs w:val="28"/>
          <w:rtl/>
        </w:rPr>
        <w:t xml:space="preserve"> (1997)  נקבע כי היורשים יכולים להעלות את טענת חזקת השיתוף גם לאחר מות שני ההורים כל עוד לא ניתן צו ירושה והעזבון טרם חולק. כך גם מצאנו את פסיקתו של כב' הש' י.  גייפמן בעניין   תמש 084740/97</w:t>
      </w:r>
      <w:r>
        <w:rPr>
          <w:rFonts w:ascii="Narkisim" w:hAnsi="Narkisim" w:cs="Narkisim"/>
          <w:b/>
          <w:bCs/>
          <w:sz w:val="28"/>
          <w:szCs w:val="28"/>
          <w:rtl/>
        </w:rPr>
        <w:t xml:space="preserve"> </w:t>
      </w:r>
      <w:r>
        <w:rPr>
          <w:rFonts w:ascii="Miriam" w:hAnsi="Miriam" w:cs="Miriam"/>
          <w:rtl/>
        </w:rPr>
        <w:t>לאה עצמון נ.  שמואל עצמון ואח'</w:t>
      </w:r>
      <w:r>
        <w:rPr>
          <w:rFonts w:ascii="Narkisim" w:hAnsi="Narkisim" w:cs="Narkisim"/>
          <w:sz w:val="28"/>
          <w:szCs w:val="28"/>
          <w:rtl/>
        </w:rPr>
        <w:t xml:space="preserve"> (2007) בה נקבע כי  בעקבות התפתחות הפסיקה הנוגעת לחזקת השיתוף הרואה בזכויות מכוחה </w:t>
      </w:r>
      <w:r>
        <w:rPr>
          <w:rFonts w:ascii="Narkisim" w:hAnsi="Narkisim" w:cs="Narkisim" w:hint="cs"/>
          <w:sz w:val="28"/>
          <w:szCs w:val="28"/>
          <w:rtl/>
        </w:rPr>
        <w:t>כ</w:t>
      </w:r>
      <w:r>
        <w:rPr>
          <w:rFonts w:ascii="Narkisim" w:hAnsi="Narkisim" w:cs="Narkisim"/>
          <w:sz w:val="28"/>
          <w:szCs w:val="28"/>
          <w:rtl/>
        </w:rPr>
        <w:t xml:space="preserve">מעין זכויות שביושר, אין מניעה מצד יורשים לתבוע מכוח חזקת השיתוף גם אם שני בני הזוג נפטרו, ובלשונו – </w:t>
      </w:r>
    </w:p>
    <w:p w:rsidR="005456EA" w:rsidRDefault="005456EA" w:rsidP="005456EA">
      <w:pPr>
        <w:ind w:left="1076" w:right="993"/>
        <w:rPr>
          <w:rFonts w:ascii="Narkisim" w:hAnsi="Narkisim" w:cs="Narkisim"/>
          <w:sz w:val="28"/>
          <w:szCs w:val="28"/>
          <w:rtl/>
        </w:rPr>
      </w:pPr>
    </w:p>
    <w:p w:rsidR="005456EA" w:rsidRDefault="005456EA" w:rsidP="005456EA">
      <w:pPr>
        <w:ind w:left="1076" w:right="993"/>
        <w:jc w:val="both"/>
        <w:rPr>
          <w:rFonts w:ascii="Narkisim" w:hAnsi="Narkisim" w:cs="Narkisim"/>
          <w:sz w:val="28"/>
          <w:szCs w:val="28"/>
          <w:u w:val="single"/>
          <w:rtl/>
        </w:rPr>
      </w:pPr>
      <w:r>
        <w:rPr>
          <w:rFonts w:ascii="Narkisim" w:hAnsi="Narkisim" w:cs="Narkisim"/>
          <w:sz w:val="28"/>
          <w:szCs w:val="28"/>
          <w:rtl/>
        </w:rPr>
        <w:t xml:space="preserve">" בעקבות ההלכה שנתחדשה ברע"א 8791/00 אניטה נ' טווינקו (לא פורסם), הרואה את זכות בן הזוג שאינו רשום כזכות קנין שביושר - אין מקום לפגיעה בזכות במקרקעין מכוח מדיניות שיפוטית של איחור בהגשת תביעות </w:t>
      </w:r>
      <w:r>
        <w:rPr>
          <w:rFonts w:ascii="Narkisim" w:hAnsi="Narkisim" w:cs="Narkisim"/>
          <w:sz w:val="28"/>
          <w:szCs w:val="28"/>
          <w:u w:val="single"/>
          <w:rtl/>
        </w:rPr>
        <w:t>ולא צריכה להיות חשיבות לשאלה מי הגיש את התביעה - האם בן הזוג או יורשיו</w:t>
      </w:r>
      <w:r>
        <w:rPr>
          <w:rFonts w:ascii="Narkisim" w:hAnsi="Narkisim" w:cs="Narkisim"/>
          <w:sz w:val="28"/>
          <w:szCs w:val="28"/>
          <w:rtl/>
        </w:rPr>
        <w:t xml:space="preserve">, </w:t>
      </w:r>
      <w:r>
        <w:rPr>
          <w:rFonts w:ascii="Narkisim" w:hAnsi="Narkisim" w:cs="Narkisim"/>
          <w:sz w:val="28"/>
          <w:szCs w:val="28"/>
          <w:u w:val="single"/>
          <w:rtl/>
        </w:rPr>
        <w:t xml:space="preserve">וכנגד מי התביעה - האם כנגד בן הזוג השני או יורשיו. </w:t>
      </w:r>
    </w:p>
    <w:p w:rsidR="005456EA" w:rsidRDefault="005456EA" w:rsidP="005456EA">
      <w:pPr>
        <w:ind w:left="1076" w:right="993"/>
        <w:jc w:val="both"/>
        <w:rPr>
          <w:rFonts w:ascii="Narkisim" w:hAnsi="Narkisim" w:cs="Narkisim"/>
          <w:sz w:val="28"/>
          <w:szCs w:val="28"/>
          <w:rtl/>
        </w:rPr>
      </w:pPr>
    </w:p>
    <w:p w:rsidR="005456EA" w:rsidRDefault="005456EA" w:rsidP="005456EA">
      <w:pPr>
        <w:ind w:left="1076" w:right="993"/>
        <w:jc w:val="both"/>
        <w:rPr>
          <w:rFonts w:ascii="Narkisim" w:hAnsi="Narkisim" w:cs="Narkisim"/>
          <w:sz w:val="28"/>
          <w:szCs w:val="28"/>
          <w:rtl/>
        </w:rPr>
      </w:pPr>
      <w:r>
        <w:rPr>
          <w:rFonts w:ascii="Narkisim" w:hAnsi="Narkisim" w:cs="Narkisim"/>
          <w:sz w:val="28"/>
          <w:szCs w:val="28"/>
          <w:rtl/>
        </w:rPr>
        <w:lastRenderedPageBreak/>
        <w:tab/>
        <w:t>כל עוד לא חלה התיישנות על תביעה במקרקעין מכוח הלכת השיתוף - יש לאפשר בירורה. חלוף הזמן יכול אמנם להקשות על הבאת ראיות, אולם אי הבאת ראיות מספיקות יהיו בעוכרי הצד שהשתהה בהגשת התביעה..." (הדגשה שלנו)</w:t>
      </w:r>
    </w:p>
    <w:p w:rsidR="005456EA" w:rsidRDefault="005456EA" w:rsidP="005456EA">
      <w:pPr>
        <w:ind w:left="1076" w:right="993"/>
        <w:jc w:val="both"/>
        <w:rPr>
          <w:rFonts w:ascii="Narkisim" w:hAnsi="Narkisim" w:cs="Narkisim"/>
          <w:sz w:val="28"/>
          <w:szCs w:val="28"/>
          <w:rtl/>
        </w:rPr>
      </w:pPr>
    </w:p>
    <w:p w:rsidR="005456EA" w:rsidRDefault="005456EA" w:rsidP="005456EA">
      <w:pPr>
        <w:spacing w:line="360" w:lineRule="auto"/>
        <w:jc w:val="both"/>
        <w:rPr>
          <w:rFonts w:ascii="Narkisim" w:hAnsi="Narkisim" w:cs="Narkisim"/>
          <w:sz w:val="28"/>
          <w:szCs w:val="28"/>
          <w:rtl/>
        </w:rPr>
      </w:pPr>
      <w:r>
        <w:rPr>
          <w:rFonts w:ascii="Narkisim" w:hAnsi="Narkisim" w:cs="Narkisim"/>
          <w:sz w:val="28"/>
          <w:szCs w:val="28"/>
          <w:rtl/>
        </w:rPr>
        <w:t xml:space="preserve">ודוק, באותו עניין הוגשה תביעת היורשים אחר מות שני היורשים ובית המשפט קיבלה בחלקה.  </w:t>
      </w:r>
    </w:p>
    <w:p w:rsidR="005456EA" w:rsidRDefault="005456EA" w:rsidP="005456EA">
      <w:pPr>
        <w:ind w:left="84"/>
        <w:rPr>
          <w:rFonts w:ascii="Narkisim" w:hAnsi="Narkisim" w:cs="Narkisim"/>
          <w:sz w:val="28"/>
          <w:szCs w:val="28"/>
          <w:rtl/>
        </w:rPr>
      </w:pPr>
    </w:p>
    <w:p w:rsidR="005456EA" w:rsidRDefault="005456EA" w:rsidP="005456EA">
      <w:pPr>
        <w:spacing w:line="360" w:lineRule="auto"/>
        <w:ind w:left="84"/>
        <w:rPr>
          <w:rFonts w:ascii="Narkisim" w:eastAsia="Calibri" w:hAnsi="Narkisim" w:cs="Narkisim"/>
          <w:sz w:val="28"/>
          <w:szCs w:val="28"/>
          <w:rtl/>
        </w:rPr>
      </w:pPr>
      <w:r>
        <w:rPr>
          <w:rFonts w:ascii="Narkisim" w:eastAsia="Calibri" w:hAnsi="Narkisim" w:cs="Narkisim"/>
          <w:sz w:val="28"/>
          <w:szCs w:val="28"/>
          <w:rtl/>
        </w:rPr>
        <w:t xml:space="preserve">בעקבות הפסיקה הנזכרת מצאנו את דבריו של המלומד פר' יצחק הדרי </w:t>
      </w:r>
      <w:r>
        <w:rPr>
          <w:rFonts w:ascii="Narkisim" w:hAnsi="Narkisim" w:cs="Narkisim"/>
          <w:sz w:val="28"/>
          <w:szCs w:val="28"/>
          <w:rtl/>
        </w:rPr>
        <w:t>בספרו על מסוי מקרקעין כרך א' מהדורה שניה בסעיף 3.78 ע' 208</w:t>
      </w:r>
      <w:r>
        <w:rPr>
          <w:rFonts w:ascii="Narkisim" w:eastAsia="Calibri" w:hAnsi="Narkisim" w:cs="Narkisim"/>
          <w:sz w:val="28"/>
          <w:szCs w:val="28"/>
          <w:rtl/>
        </w:rPr>
        <w:t xml:space="preserve"> – </w:t>
      </w:r>
    </w:p>
    <w:p w:rsidR="005456EA" w:rsidRDefault="005456EA" w:rsidP="005456EA">
      <w:pPr>
        <w:ind w:left="1076" w:right="993"/>
        <w:jc w:val="both"/>
        <w:rPr>
          <w:rFonts w:ascii="Narkisim" w:hAnsi="Narkisim" w:cs="Narkisim"/>
          <w:sz w:val="28"/>
          <w:szCs w:val="28"/>
          <w:rtl/>
        </w:rPr>
      </w:pPr>
      <w:r>
        <w:rPr>
          <w:rFonts w:ascii="Narkisim" w:eastAsia="Calibri" w:hAnsi="Narkisim" w:cs="Narkisim"/>
          <w:sz w:val="28"/>
          <w:szCs w:val="28"/>
          <w:rtl/>
        </w:rPr>
        <w:t>"</w:t>
      </w:r>
      <w:r>
        <w:rPr>
          <w:rFonts w:ascii="Narkisim" w:hAnsi="Narkisim" w:cs="Narkisim"/>
          <w:sz w:val="28"/>
          <w:szCs w:val="28"/>
          <w:rtl/>
        </w:rPr>
        <w:t xml:space="preserve">(ערכאות נמוכות) מצאו נסיבות להבחין בין פסק דין יהלום ולקבל טענת בעלות של בן זוג מכח הלכת השיתוף גם כשהיא מועלית על ידי יורשי אותו בן זוג, אבל בדרך כלל לפני הוצאת צו הירושה וחלוקת העזבון..." (ועוד ראו לעניין זה – ו"ע (חיפה) 3030/04 </w:t>
      </w:r>
      <w:r>
        <w:rPr>
          <w:rFonts w:ascii="Miriam" w:hAnsi="Miriam" w:cs="Miriam"/>
          <w:rtl/>
        </w:rPr>
        <w:t>חנה הירש נ. ועדת מס שבח</w:t>
      </w:r>
      <w:r>
        <w:rPr>
          <w:rFonts w:ascii="Narkisim" w:hAnsi="Narkisim" w:cs="Narkisim"/>
          <w:sz w:val="28"/>
          <w:szCs w:val="28"/>
          <w:rtl/>
        </w:rPr>
        <w:t xml:space="preserve"> (2005))</w:t>
      </w:r>
    </w:p>
    <w:p w:rsidR="005456EA" w:rsidRDefault="005456EA" w:rsidP="005456EA">
      <w:pPr>
        <w:ind w:left="84"/>
        <w:rPr>
          <w:rFonts w:ascii="Narkisim"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t xml:space="preserve">בנדון לא דן בית משפט קמא בשאלה האם המערערת רשאית לטעון לחזקת השיתוף אחר פטירת שני הוריה, משום שטענה זו כלל לא הועלתה בבקשת המשיבים </w:t>
      </w:r>
      <w:r>
        <w:rPr>
          <w:rFonts w:ascii="Narkisim" w:eastAsia="Calibri" w:hAnsi="Narkisim" w:cs="Narkisim" w:hint="cs"/>
          <w:sz w:val="28"/>
          <w:szCs w:val="28"/>
          <w:rtl/>
        </w:rPr>
        <w:t xml:space="preserve">לסילוק על הסף </w:t>
      </w:r>
      <w:r>
        <w:rPr>
          <w:rFonts w:ascii="Narkisim" w:eastAsia="Calibri" w:hAnsi="Narkisim" w:cs="Narkisim"/>
          <w:sz w:val="28"/>
          <w:szCs w:val="28"/>
          <w:rtl/>
        </w:rPr>
        <w:t xml:space="preserve">שכיוונה אך ורק לסילוק על הסף מחמת התיישנות. לפיכך לא נרחיב בעניינה, אשר בכל מקום אינו מהווה עילה למחיקה על הסף שכן כעולה מהפסיקה הנזכרת, הסוגיה תלויה בהיבטים עובדתיים שונים אשר ראוי שיבחנו בהליך ראיות סדור.  </w:t>
      </w:r>
    </w:p>
    <w:p w:rsidR="005456EA" w:rsidRDefault="005456EA" w:rsidP="005456EA">
      <w:pPr>
        <w:ind w:left="84"/>
        <w:rPr>
          <w:rFonts w:ascii="Narkisim" w:eastAsia="Calibri" w:hAnsi="Narkisim" w:cs="Narkisim"/>
          <w:sz w:val="28"/>
          <w:szCs w:val="28"/>
          <w:rtl/>
        </w:rPr>
      </w:pPr>
    </w:p>
    <w:p w:rsidR="005456EA" w:rsidRDefault="005456EA" w:rsidP="005456EA">
      <w:pPr>
        <w:spacing w:line="360" w:lineRule="auto"/>
        <w:ind w:left="84"/>
        <w:jc w:val="both"/>
        <w:rPr>
          <w:rFonts w:ascii="Narkisim" w:eastAsia="Calibri" w:hAnsi="Narkisim" w:cs="Narkisim"/>
          <w:sz w:val="28"/>
          <w:szCs w:val="28"/>
          <w:rtl/>
        </w:rPr>
      </w:pPr>
      <w:r>
        <w:rPr>
          <w:rFonts w:ascii="Narkisim" w:eastAsia="Calibri" w:hAnsi="Narkisim" w:cs="Narkisim"/>
          <w:sz w:val="28"/>
          <w:szCs w:val="28"/>
          <w:rtl/>
        </w:rPr>
        <w:lastRenderedPageBreak/>
        <w:t xml:space="preserve">מכל מקום, כיון שהובהר בפסיקה הנזכרת כי הזכות לטעון לחזקת השיתוף תלויה אף בשאלת ההתישנות שומה עלינו לבחון האם בנדון חלה התיישנות על תביעת המערערת.  </w:t>
      </w:r>
    </w:p>
    <w:p w:rsidR="005456EA" w:rsidRDefault="005456EA" w:rsidP="005456EA">
      <w:pPr>
        <w:ind w:left="84"/>
        <w:rPr>
          <w:rFonts w:ascii="Narkisim" w:eastAsia="Calibri" w:hAnsi="Narkisim" w:cs="Narkisim"/>
          <w:sz w:val="28"/>
          <w:szCs w:val="28"/>
          <w:rtl/>
        </w:rPr>
      </w:pPr>
    </w:p>
    <w:p w:rsidR="005456EA" w:rsidRDefault="005456EA" w:rsidP="005456EA">
      <w:pPr>
        <w:ind w:left="84"/>
        <w:rPr>
          <w:rFonts w:ascii="Miriam" w:eastAsia="Calibri" w:hAnsi="Miriam" w:cs="Miriam"/>
          <w:rtl/>
        </w:rPr>
      </w:pPr>
      <w:r>
        <w:rPr>
          <w:rFonts w:ascii="Miriam" w:eastAsia="Calibri" w:hAnsi="Miriam" w:cs="Miriam"/>
          <w:rtl/>
        </w:rPr>
        <w:t xml:space="preserve">האם חלה התיישנות על תביעת המערערת ? </w:t>
      </w:r>
    </w:p>
    <w:p w:rsidR="005456EA" w:rsidRDefault="005456EA" w:rsidP="005456EA">
      <w:pPr>
        <w:ind w:left="84"/>
        <w:rPr>
          <w:rFonts w:ascii="Calibri" w:eastAsia="Calibri" w:hAnsi="Calibri" w:cs="Monotype Hadassah"/>
          <w:sz w:val="16"/>
          <w:szCs w:val="16"/>
          <w:rtl/>
        </w:rPr>
      </w:pPr>
    </w:p>
    <w:p w:rsidR="005456EA" w:rsidRDefault="005456EA" w:rsidP="005456EA">
      <w:pPr>
        <w:pStyle w:val="a4"/>
        <w:numPr>
          <w:ilvl w:val="0"/>
          <w:numId w:val="1"/>
        </w:numPr>
        <w:ind w:left="84" w:firstLine="0"/>
        <w:rPr>
          <w:rFonts w:ascii="Narkisim" w:eastAsia="Calibri" w:hAnsi="Narkisim" w:cs="Narkisim"/>
          <w:sz w:val="28"/>
          <w:szCs w:val="28"/>
          <w:rtl/>
        </w:rPr>
      </w:pPr>
      <w:r>
        <w:rPr>
          <w:rFonts w:ascii="Miriam" w:eastAsia="Calibri" w:hAnsi="Miriam" w:cs="Miriam"/>
          <w:rtl/>
        </w:rPr>
        <w:t>בעניין עצמון</w:t>
      </w:r>
      <w:r>
        <w:rPr>
          <w:rFonts w:ascii="Narkisim" w:eastAsia="Calibri" w:hAnsi="Narkisim" w:cs="Narkisim"/>
          <w:sz w:val="28"/>
          <w:szCs w:val="28"/>
          <w:rtl/>
        </w:rPr>
        <w:t xml:space="preserve"> הובהר כי – </w:t>
      </w:r>
    </w:p>
    <w:p w:rsidR="005456EA" w:rsidRDefault="005456EA" w:rsidP="005456EA">
      <w:pPr>
        <w:ind w:left="84"/>
        <w:rPr>
          <w:rFonts w:ascii="Narkisim" w:eastAsia="Calibri" w:hAnsi="Narkisim" w:cs="Narkisim"/>
          <w:sz w:val="28"/>
          <w:szCs w:val="28"/>
          <w:rtl/>
        </w:rPr>
      </w:pPr>
    </w:p>
    <w:p w:rsidR="005456EA" w:rsidRDefault="005456EA" w:rsidP="005456EA">
      <w:pPr>
        <w:ind w:left="1076" w:right="993"/>
        <w:jc w:val="both"/>
        <w:rPr>
          <w:rFonts w:ascii="Narkisim" w:eastAsia="Calibri" w:hAnsi="Narkisim" w:cs="Narkisim"/>
          <w:sz w:val="28"/>
          <w:szCs w:val="28"/>
          <w:rtl/>
        </w:rPr>
      </w:pPr>
      <w:r>
        <w:rPr>
          <w:rFonts w:ascii="Narkisim" w:eastAsia="Calibri" w:hAnsi="Narkisim" w:cs="Narkisim"/>
          <w:sz w:val="28"/>
          <w:szCs w:val="28"/>
          <w:rtl/>
        </w:rPr>
        <w:t xml:space="preserve">"אין מקום לדחיית תביעה מכוח הלכת השיתוף בין בני זוג במקרקעין עקב שיהוי בהגשת תביעה, </w:t>
      </w:r>
      <w:r w:rsidRPr="00545053">
        <w:rPr>
          <w:rFonts w:ascii="Narkisim" w:eastAsia="Calibri" w:hAnsi="Narkisim" w:cs="Narkisim"/>
          <w:sz w:val="28"/>
          <w:szCs w:val="28"/>
          <w:u w:val="single"/>
          <w:rtl/>
        </w:rPr>
        <w:t>כאשר לא חלה התיישנות</w:t>
      </w:r>
      <w:r>
        <w:rPr>
          <w:rFonts w:ascii="Narkisim" w:eastAsia="Calibri" w:hAnsi="Narkisim" w:cs="Narkisim"/>
          <w:sz w:val="28"/>
          <w:szCs w:val="28"/>
          <w:rtl/>
        </w:rPr>
        <w:t>, אלא אם כן הוכח ויתור מפורש מצד בן הזוג או היורש הבא בנעליו או כאשר הוכח שצד שלישי הסתמך על הרישום במרשם המקרקעין ושינה את מצבו לרעה"</w:t>
      </w:r>
      <w:r>
        <w:rPr>
          <w:rFonts w:ascii="Narkisim" w:eastAsia="Calibri" w:hAnsi="Narkisim" w:cs="Narkisim" w:hint="cs"/>
          <w:sz w:val="28"/>
          <w:szCs w:val="28"/>
          <w:rtl/>
        </w:rPr>
        <w:t xml:space="preserve"> (הדגשה שלנו)</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spacing w:line="360" w:lineRule="auto"/>
        <w:jc w:val="both"/>
        <w:rPr>
          <w:rFonts w:ascii="Narkisim" w:eastAsia="Calibri" w:hAnsi="Narkisim" w:cs="Narkisim"/>
          <w:sz w:val="28"/>
          <w:szCs w:val="28"/>
          <w:rtl/>
        </w:rPr>
      </w:pPr>
      <w:r>
        <w:rPr>
          <w:rFonts w:ascii="Narkisim" w:eastAsia="Calibri" w:hAnsi="Narkisim" w:cs="Narkisim"/>
          <w:sz w:val="28"/>
          <w:szCs w:val="28"/>
          <w:rtl/>
        </w:rPr>
        <w:t xml:space="preserve">נבחן, איפוא, האם חלה התיישנות בנדון. </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spacing w:line="360" w:lineRule="auto"/>
        <w:jc w:val="both"/>
        <w:rPr>
          <w:rFonts w:ascii="Narkisim" w:eastAsia="Calibri" w:hAnsi="Narkisim" w:cs="Narkisim"/>
          <w:sz w:val="28"/>
          <w:szCs w:val="28"/>
          <w:rtl/>
        </w:rPr>
      </w:pPr>
      <w:r>
        <w:rPr>
          <w:rFonts w:ascii="Narkisim" w:eastAsia="Calibri" w:hAnsi="Narkisim" w:cs="Narkisim"/>
          <w:sz w:val="28"/>
          <w:szCs w:val="28"/>
          <w:rtl/>
        </w:rPr>
        <w:t xml:space="preserve">כפי שראינו, </w:t>
      </w:r>
      <w:r>
        <w:rPr>
          <w:rFonts w:ascii="Miriam" w:eastAsia="Calibri" w:hAnsi="Miriam" w:cs="Miriam"/>
          <w:rtl/>
        </w:rPr>
        <w:t>בעניין יהלום</w:t>
      </w:r>
      <w:r>
        <w:rPr>
          <w:rFonts w:ascii="Narkisim" w:eastAsia="Calibri" w:hAnsi="Narkisim" w:cs="Narkisim"/>
          <w:sz w:val="28"/>
          <w:szCs w:val="28"/>
          <w:rtl/>
        </w:rPr>
        <w:t xml:space="preserve"> נקבע כי יש לראות בפטירת בן הזוג "כנקודה הגיאומטרית" לבחינת תקופת ההתיישנות להעלאת טענת חזקת השיתוף. המנוח לגביו נטענת טענת השיתוף הלך לבית עולמו ביום </w:t>
      </w:r>
      <w:r>
        <w:rPr>
          <w:rFonts w:ascii="Narkisim" w:eastAsia="Calibri" w:hAnsi="Narkisim" w:cs="Narkisim"/>
          <w:sz w:val="28"/>
          <w:szCs w:val="28"/>
          <w:highlight w:val="lightGray"/>
          <w:rtl/>
        </w:rPr>
        <w:t>27.1.92</w:t>
      </w:r>
      <w:r>
        <w:rPr>
          <w:rFonts w:ascii="Narkisim" w:eastAsia="Calibri" w:hAnsi="Narkisim" w:cs="Narkisim"/>
          <w:sz w:val="28"/>
          <w:szCs w:val="28"/>
          <w:rtl/>
        </w:rPr>
        <w:t xml:space="preserve"> ובהתייחס לכך שזכויות המקרקעין הנדונים נרשמו ברמ"י בלבד הרי שעסקינן לכאורה בזכויות אובליגטריות שמועד התיישנות התביעה לגביהם היא שבע שנים, פרק זמן שחלף כבר בחיי המנוחה. אלא שמנגד לכך העלתה המערערת טענה - אף היא לכאורה בשם המנוחה, כי תקופת ההתיישנות כלל </w:t>
      </w:r>
      <w:r>
        <w:rPr>
          <w:rFonts w:ascii="Narkisim" w:eastAsia="Calibri" w:hAnsi="Narkisim" w:cs="Narkisim"/>
          <w:sz w:val="28"/>
          <w:szCs w:val="28"/>
          <w:rtl/>
        </w:rPr>
        <w:lastRenderedPageBreak/>
        <w:t xml:space="preserve">לא החלה עד לפטירת המנוחה, שכן לא הייתה למנוחה "הזדמנות סבירה" להעלות טענותיה לעניין חזקת השיתוף, לפיכך מירוץ ההתישנות לא החל קודם פטירתה שלה. </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t>בטענתו זו נשען ב"כ המערערת</w:t>
      </w:r>
      <w:r>
        <w:rPr>
          <w:rFonts w:ascii="Narkisim" w:eastAsia="Calibri" w:hAnsi="Narkisim" w:cs="Narkisim" w:hint="cs"/>
          <w:sz w:val="28"/>
          <w:szCs w:val="28"/>
          <w:rtl/>
        </w:rPr>
        <w:t xml:space="preserve">, כאמור, </w:t>
      </w:r>
      <w:r>
        <w:rPr>
          <w:rFonts w:ascii="Narkisim" w:eastAsia="Calibri" w:hAnsi="Narkisim" w:cs="Narkisim"/>
          <w:sz w:val="28"/>
          <w:szCs w:val="28"/>
          <w:rtl/>
        </w:rPr>
        <w:t xml:space="preserve"> על הוראת סע' 8 </w:t>
      </w:r>
      <w:r w:rsidRPr="00545053">
        <w:rPr>
          <w:rFonts w:ascii="Miriam" w:eastAsia="Calibri" w:hAnsi="Miriam" w:cs="Miriam"/>
          <w:rtl/>
        </w:rPr>
        <w:t>לחוק ההתיישנות</w:t>
      </w:r>
      <w:r>
        <w:rPr>
          <w:rFonts w:ascii="Narkisim" w:eastAsia="Calibri" w:hAnsi="Narkisim" w:cs="Narkisim"/>
          <w:sz w:val="28"/>
          <w:szCs w:val="28"/>
          <w:rtl/>
        </w:rPr>
        <w:t xml:space="preserve"> ובלשונה -  </w:t>
      </w:r>
    </w:p>
    <w:p w:rsidR="005456EA" w:rsidRDefault="005456EA" w:rsidP="005456EA">
      <w:pPr>
        <w:ind w:left="1076" w:right="993"/>
        <w:jc w:val="both"/>
        <w:rPr>
          <w:rFonts w:ascii="Narkisim" w:eastAsia="Calibri" w:hAnsi="Narkisim" w:cs="Narkisim"/>
          <w:sz w:val="28"/>
          <w:szCs w:val="28"/>
          <w:rtl/>
        </w:rPr>
      </w:pPr>
      <w:r>
        <w:rPr>
          <w:rFonts w:ascii="Narkisim" w:eastAsia="Calibri" w:hAnsi="Narkisim" w:cs="Narkisim"/>
          <w:sz w:val="28"/>
          <w:szCs w:val="28"/>
          <w:rtl/>
        </w:rPr>
        <w:t xml:space="preserve">"נעלמו מן התובע העובדות המהוות את עילת התובענה, מסיבות שלא היו תלויות בו ושאף </w:t>
      </w:r>
      <w:r>
        <w:rPr>
          <w:rFonts w:ascii="Narkisim" w:eastAsia="Calibri" w:hAnsi="Narkisim" w:cs="Narkisim"/>
          <w:sz w:val="28"/>
          <w:szCs w:val="28"/>
          <w:u w:val="single"/>
          <w:rtl/>
        </w:rPr>
        <w:t>בזהירות סבירה</w:t>
      </w:r>
      <w:r>
        <w:rPr>
          <w:rFonts w:ascii="Narkisim" w:eastAsia="Calibri" w:hAnsi="Narkisim" w:cs="Narkisim"/>
          <w:sz w:val="28"/>
          <w:szCs w:val="28"/>
          <w:rtl/>
        </w:rPr>
        <w:t xml:space="preserve"> לא יכול היה למנוע אותן, תתחיל תקופת ההתיישנות ביום שבו נודעו לתובע עובדות אלה</w:t>
      </w:r>
      <w:r>
        <w:rPr>
          <w:rFonts w:ascii="Narkisim" w:eastAsia="Calibri" w:hAnsi="Narkisim" w:cs="Narkisim"/>
          <w:sz w:val="28"/>
          <w:szCs w:val="28"/>
        </w:rPr>
        <w:t>"</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spacing w:line="360" w:lineRule="auto"/>
        <w:jc w:val="both"/>
        <w:rPr>
          <w:rFonts w:ascii="Narkisim" w:eastAsia="Calibri" w:hAnsi="Narkisim" w:cs="Narkisim"/>
          <w:sz w:val="28"/>
          <w:szCs w:val="28"/>
          <w:rtl/>
        </w:rPr>
      </w:pPr>
      <w:r>
        <w:rPr>
          <w:rFonts w:ascii="Narkisim" w:eastAsia="Calibri" w:hAnsi="Narkisim" w:cs="Narkisim"/>
          <w:sz w:val="28"/>
          <w:szCs w:val="28"/>
          <w:rtl/>
        </w:rPr>
        <w:t xml:space="preserve">ובכן מהי אותה "הזדמנות סבירה"  אשר כב' הש' לוין </w:t>
      </w:r>
      <w:r>
        <w:rPr>
          <w:rFonts w:ascii="Miriam" w:eastAsia="Calibri" w:hAnsi="Miriam" w:cs="Miriam"/>
          <w:rtl/>
        </w:rPr>
        <w:t>בעניין יהלום</w:t>
      </w:r>
      <w:r>
        <w:rPr>
          <w:rFonts w:ascii="Narkisim" w:eastAsia="Calibri" w:hAnsi="Narkisim" w:cs="Narkisim"/>
          <w:sz w:val="28"/>
          <w:szCs w:val="28"/>
          <w:rtl/>
        </w:rPr>
        <w:t xml:space="preserve"> נמנע מלהגדירה ולגודרה? בפסק הדין בע"א 4696/90 </w:t>
      </w:r>
      <w:r>
        <w:rPr>
          <w:rFonts w:ascii="Miriam" w:eastAsia="Calibri" w:hAnsi="Miriam" w:cs="Miriam"/>
          <w:rtl/>
        </w:rPr>
        <w:t>מרים פישלר נ' ברוך שיין</w:t>
      </w:r>
      <w:r>
        <w:rPr>
          <w:rFonts w:ascii="Narkisim" w:eastAsia="Calibri" w:hAnsi="Narkisim" w:cs="Narkisim"/>
          <w:sz w:val="28"/>
          <w:szCs w:val="28"/>
          <w:rtl/>
        </w:rPr>
        <w:t xml:space="preserve"> (1994) (להלן: </w:t>
      </w:r>
      <w:r w:rsidRPr="00545053">
        <w:rPr>
          <w:rFonts w:ascii="Miriam" w:eastAsia="Calibri" w:hAnsi="Miriam" w:cs="Miriam"/>
          <w:rtl/>
        </w:rPr>
        <w:t>עניין</w:t>
      </w:r>
      <w:r>
        <w:rPr>
          <w:rFonts w:ascii="Narkisim" w:eastAsia="Calibri" w:hAnsi="Narkisim" w:cs="Narkisim"/>
          <w:sz w:val="28"/>
          <w:szCs w:val="28"/>
          <w:rtl/>
        </w:rPr>
        <w:t xml:space="preserve"> </w:t>
      </w:r>
      <w:r>
        <w:rPr>
          <w:rFonts w:ascii="Miriam" w:eastAsia="Calibri" w:hAnsi="Miriam" w:cs="Miriam"/>
          <w:rtl/>
        </w:rPr>
        <w:t>פישלר</w:t>
      </w:r>
      <w:r>
        <w:rPr>
          <w:rFonts w:ascii="Narkisim" w:eastAsia="Calibri" w:hAnsi="Narkisim" w:cs="Narkisim"/>
          <w:sz w:val="28"/>
          <w:szCs w:val="28"/>
          <w:rtl/>
        </w:rPr>
        <w:t xml:space="preserve">) שניתן על ידי בית המשפט העליון תקופה קצרה לאחר פסק הדין </w:t>
      </w:r>
      <w:r>
        <w:rPr>
          <w:rFonts w:ascii="Miriam" w:eastAsia="Calibri" w:hAnsi="Miriam" w:cs="Miriam"/>
          <w:rtl/>
        </w:rPr>
        <w:t>בעניין יהלום</w:t>
      </w:r>
      <w:r>
        <w:rPr>
          <w:rFonts w:ascii="Narkisim" w:eastAsia="Calibri" w:hAnsi="Narkisim" w:cs="Narkisim"/>
          <w:sz w:val="28"/>
          <w:szCs w:val="28"/>
          <w:rtl/>
        </w:rPr>
        <w:t xml:space="preserve">, נקבע כי אין לזקוף לחובת בן הזוג, או יורשו שבא בנעליו, את העובדה שהוא נמנע מלדרוש מימוש חזקת השיתוף מיד עם מתן צו ירושה אשר אינו מכיר בזכויות בן הזוג האחר כשותף בנכסיו. נקבע, כי אין בהימנעות זו לבדה כדי ללמד על ויתור מצד בן הזוג על זכותו לתבוע את זכויותיו, אלא נדרש להתקיים דבר מה נוסף שיש בו כדי ללמד על וויתור מצדו.  </w:t>
      </w:r>
      <w:r>
        <w:rPr>
          <w:rFonts w:ascii="Miriam" w:eastAsia="Calibri" w:hAnsi="Miriam" w:cs="Miriam"/>
          <w:rtl/>
        </w:rPr>
        <w:t>בעניין פישלר</w:t>
      </w:r>
      <w:r>
        <w:rPr>
          <w:rFonts w:ascii="Narkisim" w:eastAsia="Calibri" w:hAnsi="Narkisim" w:cs="Narkisim"/>
          <w:sz w:val="28"/>
          <w:szCs w:val="28"/>
          <w:rtl/>
        </w:rPr>
        <w:t xml:space="preserve"> קבע בית המשפט העליון, כי יש לראות בבן הזוג כמי שוויתר על זכויותיו מכוח חזקת השיתוף משני טעמים מצטברים: הראשון, חלוף הזמן הארוך והממושך שבו ישן התובע על זכותו לתבוע זכויות מכוח חזקת השיתוף; והשני, הפגיעה בזכויות צד שלישי אשר הסתמך על זכאותו לחלקים מהירושה ושינה את מצבו לרעה. </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lastRenderedPageBreak/>
        <w:t xml:space="preserve">אלא, שראשית דבר, אין לנו לעשות עירוב תחומין בין סוגיית הויתור, היינו מתי נראה את בן הזוג כמוותר על זכותו (ויכול ויווצרו נסיבות בהן הויתור מוכח עוד קודם לסיום תקופת ההתיישנות) לבין החלת תקופת ההתישנות לצורך העלאת טענת חזקת השיתוף. נראה כי ההזדמנות הסבירה לעניין תחילת תקופת ההתיישנות היא גורם </w:t>
      </w:r>
      <w:r>
        <w:rPr>
          <w:rFonts w:ascii="Narkisim" w:eastAsia="Calibri" w:hAnsi="Narkisim" w:cs="Narkisim" w:hint="cs"/>
          <w:sz w:val="28"/>
          <w:szCs w:val="28"/>
          <w:rtl/>
        </w:rPr>
        <w:t xml:space="preserve">או ארוע </w:t>
      </w:r>
      <w:r>
        <w:rPr>
          <w:rFonts w:ascii="Narkisim" w:eastAsia="Calibri" w:hAnsi="Narkisim" w:cs="Narkisim"/>
          <w:sz w:val="28"/>
          <w:szCs w:val="28"/>
          <w:rtl/>
        </w:rPr>
        <w:t>כזה או אחר אשר יש בו להצדיק את הגשת התביעה ופנייה לערכאות. כדוגמה</w:t>
      </w:r>
      <w:r>
        <w:rPr>
          <w:rFonts w:ascii="Narkisim" w:eastAsia="Calibri" w:hAnsi="Narkisim" w:cs="Narkisim" w:hint="cs"/>
          <w:sz w:val="28"/>
          <w:szCs w:val="28"/>
          <w:rtl/>
        </w:rPr>
        <w:t>,</w:t>
      </w:r>
      <w:r>
        <w:rPr>
          <w:rFonts w:ascii="Narkisim" w:eastAsia="Calibri" w:hAnsi="Narkisim" w:cs="Narkisim"/>
          <w:sz w:val="28"/>
          <w:szCs w:val="28"/>
          <w:rtl/>
        </w:rPr>
        <w:t xml:space="preserve"> אחר שנפטר בן הזוג מיד עולה סוגיית זכויות היורשים האחרים. ואולם אם, כדוגמה, אין לבן הזוג שנפטר יורשים אחרים או שהיורשים עינם אינה צרה בשימוש שעושה בן הזוג ברכושו של הנפטר ואין הם באים בטרוניות על כך זמן רב, מדוע שנאמר כי התקיימה הזדמנות סבירה לדעת את העובדות המקימות את התביעה?  אם לבן הזוג מוצג מצג לכאורי לפיו הוא יכול לעשות בעזבון כבשלו מדוע שיעלה בדעתו כי עליו לטעון טענות משפטיות, כגון טענת חזקת השיתוף על מנת לגדר ולכמת את הרכוש השייך לו</w:t>
      </w:r>
      <w:r>
        <w:rPr>
          <w:rFonts w:ascii="Narkisim" w:eastAsia="Calibri" w:hAnsi="Narkisim" w:cs="Narkisim" w:hint="cs"/>
          <w:sz w:val="28"/>
          <w:szCs w:val="28"/>
          <w:rtl/>
        </w:rPr>
        <w:t xml:space="preserve"> וזאת כלפי אחרים שכלל לא ערעור על זכותו זו </w:t>
      </w:r>
      <w:r>
        <w:rPr>
          <w:rFonts w:ascii="Narkisim" w:eastAsia="Calibri" w:hAnsi="Narkisim" w:cs="Narkisim"/>
          <w:sz w:val="28"/>
          <w:szCs w:val="28"/>
          <w:rtl/>
        </w:rPr>
        <w:t xml:space="preserve">? ניתן לענות לשאלה זו כי מעת שעל בן הזוג לעלות בדעתו שאין הרכוש שייך רק לו, מצופה כי יפעל לצורך גיבוש זכותו גם אם אין יורשי בן הזוג שנפטר טוענים כעת טענות כנגדו. גישה זו, לה טוענים המשיבים, מקפידה עם בן הזוג, ואולם הגיונה בצידה, שכן דרישת סע' 8 </w:t>
      </w:r>
      <w:r>
        <w:rPr>
          <w:rFonts w:ascii="Miriam" w:eastAsia="Calibri" w:hAnsi="Miriam" w:cs="Miriam"/>
          <w:rtl/>
        </w:rPr>
        <w:t>לחוק ההתיישנות</w:t>
      </w:r>
      <w:r>
        <w:rPr>
          <w:rFonts w:ascii="Narkisim" w:eastAsia="Calibri" w:hAnsi="Narkisim" w:cs="Narkisim"/>
          <w:sz w:val="28"/>
          <w:szCs w:val="28"/>
          <w:rtl/>
        </w:rPr>
        <w:t xml:space="preserve"> היא לידיעת "העובדות המהוות את עילת התובענה" היינו, העובדות המצדיקות הגשת תביעה לחזקת שיתוף, כגון קיומו של רישום שאינו תואם את חזקת השיתוף וכיוצ"ב. אלא שגם אם נאחז בגישה קפדנית זו, הרי שבנדון  יש לאפשר</w:t>
      </w:r>
      <w:r>
        <w:rPr>
          <w:rFonts w:ascii="Narkisim" w:eastAsia="Calibri" w:hAnsi="Narkisim" w:cs="Narkisim" w:hint="cs"/>
          <w:sz w:val="28"/>
          <w:szCs w:val="28"/>
          <w:rtl/>
        </w:rPr>
        <w:t>, לכאורה,</w:t>
      </w:r>
      <w:r>
        <w:rPr>
          <w:rFonts w:ascii="Narkisim" w:eastAsia="Calibri" w:hAnsi="Narkisim" w:cs="Narkisim"/>
          <w:sz w:val="28"/>
          <w:szCs w:val="28"/>
          <w:rtl/>
        </w:rPr>
        <w:t xml:space="preserve"> למערערת להוכיח כי לא הייתה לה או למנוחה כל אפשרות סבירה להיוודע לעובדות אופן רישום הדירה והזכויות בה. לעניין זה מבקשת המערערת להאחז בכך שהמנוחה לא ידעה קרוא וכתוב ולא יכולה הייתה להבין מסמכים שהגיעו לידיה, ככל שהגיעו, בעניין רישום הזכויות בדירה</w:t>
      </w:r>
      <w:r>
        <w:rPr>
          <w:rFonts w:ascii="Narkisim" w:eastAsia="Calibri" w:hAnsi="Narkisim" w:cs="Narkisim" w:hint="cs"/>
          <w:sz w:val="28"/>
          <w:szCs w:val="28"/>
          <w:rtl/>
        </w:rPr>
        <w:t xml:space="preserve">, </w:t>
      </w:r>
      <w:r>
        <w:rPr>
          <w:rFonts w:ascii="Narkisim" w:eastAsia="Calibri" w:hAnsi="Narkisim" w:cs="Narkisim"/>
          <w:sz w:val="28"/>
          <w:szCs w:val="28"/>
          <w:rtl/>
        </w:rPr>
        <w:t>וכי היא עצמה סברה</w:t>
      </w:r>
      <w:r>
        <w:rPr>
          <w:rFonts w:ascii="Narkisim" w:eastAsia="Calibri" w:hAnsi="Narkisim" w:cs="Narkisim" w:hint="cs"/>
          <w:sz w:val="28"/>
          <w:szCs w:val="28"/>
          <w:rtl/>
        </w:rPr>
        <w:t>,</w:t>
      </w:r>
      <w:r>
        <w:rPr>
          <w:rFonts w:ascii="Narkisim" w:eastAsia="Calibri" w:hAnsi="Narkisim" w:cs="Narkisim"/>
          <w:sz w:val="28"/>
          <w:szCs w:val="28"/>
          <w:rtl/>
        </w:rPr>
        <w:t xml:space="preserve"> כאמה המנוחה</w:t>
      </w:r>
      <w:r>
        <w:rPr>
          <w:rFonts w:ascii="Narkisim" w:eastAsia="Calibri" w:hAnsi="Narkisim" w:cs="Narkisim" w:hint="cs"/>
          <w:sz w:val="28"/>
          <w:szCs w:val="28"/>
          <w:rtl/>
        </w:rPr>
        <w:t>,</w:t>
      </w:r>
      <w:r>
        <w:rPr>
          <w:rFonts w:ascii="Narkisim" w:eastAsia="Calibri" w:hAnsi="Narkisim" w:cs="Narkisim"/>
          <w:sz w:val="28"/>
          <w:szCs w:val="28"/>
          <w:rtl/>
        </w:rPr>
        <w:t xml:space="preserve"> שהדירה הייתה משותפת להוריה. המשיבים טוענים </w:t>
      </w:r>
      <w:r>
        <w:rPr>
          <w:rFonts w:ascii="Narkisim" w:eastAsia="Calibri" w:hAnsi="Narkisim" w:cs="Narkisim"/>
          <w:sz w:val="28"/>
          <w:szCs w:val="28"/>
          <w:rtl/>
        </w:rPr>
        <w:lastRenderedPageBreak/>
        <w:t xml:space="preserve">מנגד, כי בנדון היו הזדמנויות רבות להתוודע לפרטי הרישום וזאת מעצם עובדת עריכתה שתי צוואות באמצעות עורכי דין אשר מן הסתם, כך לטענת המשיבים, ביררו את ענין זכויות המנוחה בדירה ועדכנו אותה אודותם, או מכתבי המינהל השונים שהגיעו לידיה ואשר כללו את עובדת רישום הדירה על שמה.  אלא, </w:t>
      </w:r>
      <w:r>
        <w:rPr>
          <w:rFonts w:ascii="Narkisim" w:eastAsia="Calibri" w:hAnsi="Narkisim" w:cs="Narkisim"/>
          <w:sz w:val="28"/>
          <w:szCs w:val="28"/>
          <w:u w:val="single"/>
          <w:rtl/>
        </w:rPr>
        <w:t>שטענות אלו הן טענות עובדתיות הנצרכות להוכחה, ובצד זה יש ליתן בידי המערערת את האפשרות לסותרן על ידי הבאת ראיות מתאימות מטעמה</w:t>
      </w:r>
      <w:r>
        <w:rPr>
          <w:rFonts w:ascii="Narkisim" w:eastAsia="Calibri" w:hAnsi="Narkisim" w:cs="Narkisim"/>
          <w:sz w:val="28"/>
          <w:szCs w:val="28"/>
          <w:rtl/>
        </w:rPr>
        <w:t xml:space="preserve"> בהתייחס לעובדות שהיו בידיעת המנוחה או שהיו יכולות  להיות בידיעתה. רוצה לומר - הדברים טעונים בירור עובדתי וכל דבר הטעון לבירור עובדתי אין מקום לסלקו על הסף</w:t>
      </w:r>
      <w:r>
        <w:rPr>
          <w:rFonts w:ascii="Narkisim" w:eastAsia="Calibri" w:hAnsi="Narkisim" w:cs="Narkisim" w:hint="cs"/>
          <w:sz w:val="28"/>
          <w:szCs w:val="28"/>
          <w:rtl/>
        </w:rPr>
        <w:t>, גםאם הסיכוי להוכיחו בסופו של יום אינו גבוה</w:t>
      </w:r>
      <w:r>
        <w:rPr>
          <w:rFonts w:ascii="Narkisim" w:eastAsia="Calibri" w:hAnsi="Narkisim" w:cs="Narkisim"/>
          <w:sz w:val="28"/>
          <w:szCs w:val="28"/>
          <w:rtl/>
        </w:rPr>
        <w:t xml:space="preserve">.  </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t xml:space="preserve">המשיבים </w:t>
      </w:r>
      <w:r>
        <w:rPr>
          <w:rFonts w:ascii="Narkisim" w:eastAsia="Calibri" w:hAnsi="Narkisim" w:cs="Narkisim" w:hint="cs"/>
          <w:sz w:val="28"/>
          <w:szCs w:val="28"/>
          <w:rtl/>
        </w:rPr>
        <w:t>הוסיפו ו</w:t>
      </w:r>
      <w:r>
        <w:rPr>
          <w:rFonts w:ascii="Narkisim" w:eastAsia="Calibri" w:hAnsi="Narkisim" w:cs="Narkisim"/>
          <w:sz w:val="28"/>
          <w:szCs w:val="28"/>
          <w:rtl/>
        </w:rPr>
        <w:t>ב</w:t>
      </w:r>
      <w:r>
        <w:rPr>
          <w:rFonts w:ascii="Narkisim" w:eastAsia="Calibri" w:hAnsi="Narkisim" w:cs="Narkisim" w:hint="cs"/>
          <w:sz w:val="28"/>
          <w:szCs w:val="28"/>
          <w:rtl/>
        </w:rPr>
        <w:t>י</w:t>
      </w:r>
      <w:r>
        <w:rPr>
          <w:rFonts w:ascii="Narkisim" w:eastAsia="Calibri" w:hAnsi="Narkisim" w:cs="Narkisim"/>
          <w:sz w:val="28"/>
          <w:szCs w:val="28"/>
          <w:rtl/>
        </w:rPr>
        <w:t xml:space="preserve">קשו לטעון כי אין בנדון צורך לבירור עובדתי שכן הבדיקה נעשית בעיניים אובקייטיביות כעולה מפסיקת בית המשפט בעניין ע"א 2919/07 </w:t>
      </w:r>
      <w:r>
        <w:rPr>
          <w:rFonts w:ascii="Miriam" w:eastAsia="Calibri" w:hAnsi="Miriam" w:cs="Miriam"/>
          <w:rtl/>
        </w:rPr>
        <w:t>מדינת ישראל נ. עדנה גייא ליפל</w:t>
      </w:r>
      <w:r>
        <w:rPr>
          <w:rFonts w:ascii="Narkisim" w:eastAsia="Calibri" w:hAnsi="Narkisim" w:cs="Narkisim"/>
          <w:sz w:val="28"/>
          <w:szCs w:val="28"/>
          <w:rtl/>
        </w:rPr>
        <w:t xml:space="preserve"> (2010). אכן כך, אך יש לתת את הדעת לשני עניינים,  </w:t>
      </w:r>
      <w:r>
        <w:rPr>
          <w:rFonts w:ascii="Miriam" w:eastAsia="Calibri" w:hAnsi="Miriam" w:cs="Miriam"/>
          <w:rtl/>
        </w:rPr>
        <w:t xml:space="preserve">האחד </w:t>
      </w:r>
      <w:r>
        <w:rPr>
          <w:rFonts w:ascii="Narkisim" w:eastAsia="Calibri" w:hAnsi="Narkisim" w:cs="Narkisim"/>
          <w:sz w:val="28"/>
          <w:szCs w:val="28"/>
          <w:rtl/>
        </w:rPr>
        <w:t xml:space="preserve">– בית המשפט קבע כי אמת המידה לבחינת הוראת סע' 8 </w:t>
      </w:r>
      <w:r>
        <w:rPr>
          <w:rFonts w:ascii="Miriam" w:eastAsia="Calibri" w:hAnsi="Miriam" w:cs="Miriam"/>
          <w:rtl/>
        </w:rPr>
        <w:t>לחוק ההתישנות</w:t>
      </w:r>
      <w:r>
        <w:rPr>
          <w:rFonts w:ascii="Narkisim" w:eastAsia="Calibri" w:hAnsi="Narkisim" w:cs="Narkisim"/>
          <w:sz w:val="28"/>
          <w:szCs w:val="28"/>
          <w:rtl/>
        </w:rPr>
        <w:t xml:space="preserve"> היא על פי מבחן אובייקטיבי של האדם הסביר והאמצעים הסבירים, אך זאת תוך התחשבות </w:t>
      </w:r>
      <w:r>
        <w:rPr>
          <w:rFonts w:ascii="Narkisim" w:eastAsia="Calibri" w:hAnsi="Narkisim" w:cs="Narkisim"/>
          <w:sz w:val="28"/>
          <w:szCs w:val="28"/>
          <w:u w:val="single"/>
          <w:rtl/>
        </w:rPr>
        <w:t>בנסיבות העניין</w:t>
      </w:r>
      <w:r>
        <w:rPr>
          <w:rFonts w:ascii="Narkisim" w:eastAsia="Calibri" w:hAnsi="Narkisim" w:cs="Narkisim"/>
          <w:sz w:val="28"/>
          <w:szCs w:val="28"/>
          <w:rtl/>
        </w:rPr>
        <w:t>. נסיבות העניין על דרך הכלל מצריכות ראיה וכאשר נטען, כדוגמה, כי המנוחה לא ידעה קרוא וכתוב יש לבחון האם כך</w:t>
      </w:r>
      <w:r>
        <w:rPr>
          <w:rFonts w:ascii="Narkisim" w:eastAsia="Calibri" w:hAnsi="Narkisim" w:cs="Narkisim" w:hint="cs"/>
          <w:sz w:val="28"/>
          <w:szCs w:val="28"/>
          <w:rtl/>
        </w:rPr>
        <w:t>,</w:t>
      </w:r>
      <w:r>
        <w:rPr>
          <w:rFonts w:ascii="Narkisim" w:eastAsia="Calibri" w:hAnsi="Narkisim" w:cs="Narkisim"/>
          <w:sz w:val="28"/>
          <w:szCs w:val="28"/>
          <w:rtl/>
        </w:rPr>
        <w:t xml:space="preserve"> והאם היה בדבר למנוע ממנה באופן אוביקטיבי, ונוכח כלל נסיבות הענין, לדעת או לברר את עניין הרישום, והאם יכלה לקרוא את המכתבים שהגיעו לדירה מגופים ציבוריים באשר לאופן רישום המקרקעין, ככל שאכן הגיעו, וכיוצ"ב, ושוב נמצא כי עסקינן בעניין הנדרש לבחינה עובדתית וראייתית ודי בכך בכדי לקבוע כי אין המקרה כאן מצדיק סילוק על הסף.  </w:t>
      </w:r>
    </w:p>
    <w:p w:rsidR="005456EA" w:rsidRDefault="005456EA" w:rsidP="005456EA">
      <w:pPr>
        <w:pStyle w:val="a4"/>
        <w:rPr>
          <w:rFonts w:ascii="Narkisim" w:eastAsia="Calibri" w:hAnsi="Narkisim" w:cs="Narkisim"/>
          <w:sz w:val="28"/>
          <w:szCs w:val="28"/>
        </w:rPr>
      </w:pPr>
    </w:p>
    <w:p w:rsidR="005456EA" w:rsidRDefault="005456EA" w:rsidP="005456EA">
      <w:pPr>
        <w:spacing w:line="360" w:lineRule="auto"/>
        <w:jc w:val="both"/>
        <w:rPr>
          <w:rFonts w:ascii="Narkisim" w:eastAsia="Calibri" w:hAnsi="Narkisim" w:cs="Narkisim"/>
          <w:sz w:val="28"/>
          <w:szCs w:val="28"/>
          <w:rtl/>
        </w:rPr>
      </w:pPr>
      <w:r>
        <w:rPr>
          <w:rFonts w:ascii="Narkisim" w:eastAsia="Calibri" w:hAnsi="Narkisim" w:cs="Narkisim"/>
          <w:sz w:val="28"/>
          <w:szCs w:val="28"/>
          <w:rtl/>
        </w:rPr>
        <w:t>העניין השני שיש לתת על הדעת</w:t>
      </w:r>
      <w:r>
        <w:rPr>
          <w:rFonts w:ascii="Narkisim" w:eastAsia="Calibri" w:hAnsi="Narkisim" w:cs="Narkisim" w:hint="cs"/>
          <w:sz w:val="28"/>
          <w:szCs w:val="28"/>
          <w:rtl/>
        </w:rPr>
        <w:t xml:space="preserve">, ועליו רמזנו לעיל, </w:t>
      </w:r>
      <w:r>
        <w:rPr>
          <w:rFonts w:ascii="Narkisim" w:eastAsia="Calibri" w:hAnsi="Narkisim" w:cs="Narkisim"/>
          <w:sz w:val="28"/>
          <w:szCs w:val="28"/>
          <w:rtl/>
        </w:rPr>
        <w:t xml:space="preserve"> הוא שבניגוד לקביעות </w:t>
      </w:r>
      <w:r>
        <w:rPr>
          <w:rFonts w:ascii="Miriam" w:eastAsia="Calibri" w:hAnsi="Miriam" w:cs="Miriam"/>
          <w:rtl/>
        </w:rPr>
        <w:t>בעניין למפל</w:t>
      </w:r>
      <w:r>
        <w:rPr>
          <w:rFonts w:ascii="Narkisim" w:eastAsia="Calibri" w:hAnsi="Narkisim" w:cs="Narkisim"/>
          <w:sz w:val="28"/>
          <w:szCs w:val="28"/>
          <w:rtl/>
        </w:rPr>
        <w:t xml:space="preserve"> הנ"ל </w:t>
      </w:r>
      <w:r>
        <w:rPr>
          <w:rFonts w:ascii="Miriam" w:eastAsia="Calibri" w:hAnsi="Miriam" w:cs="Miriam"/>
          <w:rtl/>
        </w:rPr>
        <w:t xml:space="preserve">ובעניין מאירי </w:t>
      </w:r>
      <w:r>
        <w:rPr>
          <w:rFonts w:ascii="Narkisim" w:eastAsia="Calibri" w:hAnsi="Narkisim" w:cs="Narkisim"/>
          <w:sz w:val="28"/>
          <w:szCs w:val="28"/>
          <w:rtl/>
        </w:rPr>
        <w:t xml:space="preserve">(ע"א 1254/99 </w:t>
      </w:r>
      <w:r>
        <w:rPr>
          <w:rFonts w:ascii="Miriam" w:eastAsia="Calibri" w:hAnsi="Miriam" w:cs="Miriam"/>
          <w:rtl/>
        </w:rPr>
        <w:t>המאירי נ.  הכשרת הישוב</w:t>
      </w:r>
      <w:r>
        <w:rPr>
          <w:rFonts w:ascii="Narkisim" w:eastAsia="Calibri" w:hAnsi="Narkisim" w:cs="Narkisim"/>
          <w:sz w:val="28"/>
          <w:szCs w:val="28"/>
          <w:rtl/>
        </w:rPr>
        <w:t xml:space="preserve"> (2000)) אשר עסקו בידיעת עובדות המקימות עילה נזיקית והעמדת עילת תביעה בפועל כנגד אחר, הרי שבנדון עילת התביעה מתייחסת לזכות שהיא זכות שביושר – זכות קיימת ועומדת לבן הזוג הנשוי ונצרכת רק לגושפנקא של ערכאה משפטית - אין מדובר במצב בו בן הזוג מעוניין להגיש תביעה כנגד אחר</w:t>
      </w:r>
      <w:r>
        <w:rPr>
          <w:rFonts w:ascii="Narkisim" w:eastAsia="Calibri" w:hAnsi="Narkisim" w:cs="Narkisim" w:hint="cs"/>
          <w:sz w:val="28"/>
          <w:szCs w:val="28"/>
          <w:rtl/>
        </w:rPr>
        <w:t xml:space="preserve"> או להתעמת אם מאן דהוא</w:t>
      </w:r>
      <w:r>
        <w:rPr>
          <w:rFonts w:ascii="Narkisim" w:eastAsia="Calibri" w:hAnsi="Narkisim" w:cs="Narkisim"/>
          <w:sz w:val="28"/>
          <w:szCs w:val="28"/>
          <w:rtl/>
        </w:rPr>
        <w:t xml:space="preserve"> שכן, לכאורה או שכך נ</w:t>
      </w:r>
      <w:r>
        <w:rPr>
          <w:rFonts w:ascii="Narkisim" w:eastAsia="Calibri" w:hAnsi="Narkisim" w:cs="Narkisim" w:hint="cs"/>
          <w:sz w:val="28"/>
          <w:szCs w:val="28"/>
          <w:rtl/>
        </w:rPr>
        <w:t>דמ</w:t>
      </w:r>
      <w:r>
        <w:rPr>
          <w:rFonts w:ascii="Narkisim" w:eastAsia="Calibri" w:hAnsi="Narkisim" w:cs="Narkisim"/>
          <w:sz w:val="28"/>
          <w:szCs w:val="28"/>
          <w:rtl/>
        </w:rPr>
        <w:t>ה בעיניו, אין מי שמערער על זכותו זו</w:t>
      </w:r>
      <w:r>
        <w:rPr>
          <w:rFonts w:ascii="Narkisim" w:eastAsia="Calibri" w:hAnsi="Narkisim" w:cs="Narkisim" w:hint="cs"/>
          <w:sz w:val="28"/>
          <w:szCs w:val="28"/>
          <w:rtl/>
        </w:rPr>
        <w:t>.</w:t>
      </w:r>
      <w:r>
        <w:rPr>
          <w:rFonts w:ascii="Narkisim" w:eastAsia="Calibri" w:hAnsi="Narkisim" w:cs="Narkisim"/>
          <w:sz w:val="28"/>
          <w:szCs w:val="28"/>
          <w:rtl/>
        </w:rPr>
        <w:t xml:space="preserve"> בעניין שכזה יש לבחון היטב את הנסיבות האם אין בהן עילה וטעם להקל עם הטוען לזכויות, קל וחומק מקום בו אותן זכויות, שלטענת המשיבים היה על המנוחה לעמוד עליהן, הן זכויות אל מול ילדיה, שהכירו את מערכת היחסים הזוגית בין הוריהם ואף הם עצמם לא ביקשו לשנות דבר ממצב הדברים שנהג טרם מות האב המנוח, לאחר מותו. לפיכך אף מטעם זה  נדרשת בדיקה מעמיקה יותר של העובדות ואין מקום לסילוק התביעה על הסף.  </w:t>
      </w:r>
    </w:p>
    <w:p w:rsidR="005456EA" w:rsidRPr="00917D54" w:rsidRDefault="005456EA" w:rsidP="005456EA">
      <w:pPr>
        <w:spacing w:line="360" w:lineRule="auto"/>
        <w:jc w:val="both"/>
        <w:rPr>
          <w:rFonts w:ascii="Narkisim" w:eastAsia="Calibri" w:hAnsi="Narkisim" w:cs="Narkisim"/>
          <w:sz w:val="28"/>
          <w:szCs w:val="28"/>
          <w:rtl/>
        </w:rPr>
      </w:pPr>
    </w:p>
    <w:p w:rsidR="005456EA" w:rsidRDefault="005456EA" w:rsidP="005456EA">
      <w:pPr>
        <w:spacing w:line="360" w:lineRule="auto"/>
        <w:jc w:val="both"/>
        <w:rPr>
          <w:rFonts w:ascii="Narkisim" w:eastAsia="Calibri" w:hAnsi="Narkisim" w:cs="Narkisim"/>
          <w:sz w:val="28"/>
          <w:szCs w:val="28"/>
          <w:rtl/>
        </w:rPr>
      </w:pPr>
      <w:r w:rsidRPr="00917D54">
        <w:rPr>
          <w:rFonts w:ascii="Narkisim" w:eastAsia="Calibri" w:hAnsi="Narkisim" w:cs="Narkisim"/>
          <w:sz w:val="28"/>
          <w:szCs w:val="28"/>
          <w:rtl/>
        </w:rPr>
        <w:t xml:space="preserve">ואם כן, </w:t>
      </w:r>
      <w:r w:rsidRPr="00917D54">
        <w:rPr>
          <w:rFonts w:ascii="Narkisim" w:eastAsia="Calibri" w:hAnsi="Narkisim" w:cs="Narkisim" w:hint="cs"/>
          <w:sz w:val="28"/>
          <w:szCs w:val="28"/>
          <w:rtl/>
        </w:rPr>
        <w:t xml:space="preserve">לסברתינו, </w:t>
      </w:r>
      <w:r w:rsidRPr="00917D54">
        <w:rPr>
          <w:rFonts w:ascii="Narkisim" w:eastAsia="Calibri" w:hAnsi="Narkisim" w:cs="Narkisim"/>
          <w:sz w:val="28"/>
          <w:szCs w:val="28"/>
          <w:rtl/>
        </w:rPr>
        <w:t>בנדון ראוי כי שאלת ההתיישנות תתברר במסגרת הבירור העובדתי לו ידרש בית המשפט בבירור התביעה ואין מקום לסלק התביעה על הסף מחמת ההתיישנות, וזאת כמובן מבלי לקבוע מסמרות בעניינה של ההתיישנות</w:t>
      </w:r>
      <w:r>
        <w:rPr>
          <w:rFonts w:ascii="Narkisim" w:eastAsia="Calibri" w:hAnsi="Narkisim" w:cs="Narkisim"/>
          <w:sz w:val="28"/>
          <w:szCs w:val="28"/>
          <w:rtl/>
        </w:rPr>
        <w:t xml:space="preserve">. </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spacing w:line="360" w:lineRule="auto"/>
        <w:jc w:val="both"/>
        <w:rPr>
          <w:rFonts w:ascii="Miriam" w:eastAsia="Calibri" w:hAnsi="Miriam" w:cs="Miriam"/>
          <w:rtl/>
        </w:rPr>
      </w:pPr>
      <w:r>
        <w:rPr>
          <w:rFonts w:ascii="Miriam" w:eastAsia="Calibri" w:hAnsi="Miriam" w:cs="Miriam"/>
          <w:rtl/>
        </w:rPr>
        <w:t xml:space="preserve">סוף דבר </w:t>
      </w:r>
    </w:p>
    <w:p w:rsidR="005456EA" w:rsidRDefault="005456EA" w:rsidP="005456EA">
      <w:pPr>
        <w:spacing w:line="360" w:lineRule="auto"/>
        <w:jc w:val="both"/>
        <w:rPr>
          <w:rFonts w:ascii="Narkisim" w:eastAsia="Calibri" w:hAnsi="Narkisim" w:cs="Narkisim"/>
          <w:sz w:val="28"/>
          <w:szCs w:val="28"/>
          <w:rtl/>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lastRenderedPageBreak/>
        <w:t xml:space="preserve"> הערעור מתקבל באופן בו התיק יושב לבית משפט קמא לצורך בירור התביעה לגופה לרבות בשאלת ההתישנות</w:t>
      </w:r>
      <w:r>
        <w:rPr>
          <w:rFonts w:ascii="Narkisim" w:eastAsia="Calibri" w:hAnsi="Narkisim" w:cs="Narkisim" w:hint="cs"/>
          <w:sz w:val="28"/>
          <w:szCs w:val="28"/>
          <w:rtl/>
        </w:rPr>
        <w:t>,</w:t>
      </w:r>
      <w:r>
        <w:rPr>
          <w:rFonts w:ascii="Narkisim" w:eastAsia="Calibri" w:hAnsi="Narkisim" w:cs="Narkisim"/>
          <w:sz w:val="28"/>
          <w:szCs w:val="28"/>
          <w:rtl/>
        </w:rPr>
        <w:t xml:space="preserve"> אחר בחינת הפן העובדתי הכרוך בה</w:t>
      </w:r>
      <w:r>
        <w:rPr>
          <w:rFonts w:ascii="Narkisim" w:eastAsia="Calibri" w:hAnsi="Narkisim" w:cs="Narkisim" w:hint="cs"/>
          <w:sz w:val="28"/>
          <w:szCs w:val="28"/>
          <w:rtl/>
        </w:rPr>
        <w:t>,</w:t>
      </w:r>
      <w:r>
        <w:rPr>
          <w:rFonts w:ascii="Narkisim" w:eastAsia="Calibri" w:hAnsi="Narkisim" w:cs="Narkisim"/>
          <w:sz w:val="28"/>
          <w:szCs w:val="28"/>
          <w:rtl/>
        </w:rPr>
        <w:t xml:space="preserve"> נוכח טענת המערערת להתיישנות שלא מדעת. </w:t>
      </w:r>
    </w:p>
    <w:p w:rsidR="005456EA" w:rsidRDefault="005456EA" w:rsidP="005456EA">
      <w:pPr>
        <w:pStyle w:val="a4"/>
        <w:spacing w:line="360" w:lineRule="auto"/>
        <w:ind w:left="84"/>
        <w:jc w:val="both"/>
        <w:rPr>
          <w:rFonts w:ascii="Narkisim" w:eastAsia="Calibri" w:hAnsi="Narkisim" w:cs="Narkisim"/>
          <w:sz w:val="28"/>
          <w:szCs w:val="28"/>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Pr>
      </w:pPr>
      <w:r>
        <w:rPr>
          <w:rFonts w:ascii="Narkisim" w:eastAsia="Calibri" w:hAnsi="Narkisim" w:cs="Narkisim"/>
          <w:sz w:val="28"/>
          <w:szCs w:val="28"/>
          <w:rtl/>
        </w:rPr>
        <w:t xml:space="preserve">מכיון שהמערערת לא חויבה בהוצאות בהחלטת בית משפט קמא איננו מוצאים מקום לעשות צו להוצאות בהליך זה. ההוצאות תקבענה בתום ההליך על ידי בית משפט קמא.  </w:t>
      </w:r>
    </w:p>
    <w:p w:rsidR="005456EA" w:rsidRDefault="005456EA" w:rsidP="005456EA">
      <w:pPr>
        <w:pStyle w:val="a4"/>
        <w:rPr>
          <w:rFonts w:ascii="Narkisim" w:eastAsia="Calibri" w:hAnsi="Narkisim" w:cs="Narkisim"/>
          <w:sz w:val="28"/>
          <w:szCs w:val="28"/>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t>הערובה שהפקדה על ידי המערער</w:t>
      </w:r>
      <w:r>
        <w:rPr>
          <w:rFonts w:ascii="Narkisim" w:eastAsia="Calibri" w:hAnsi="Narkisim" w:cs="Narkisim" w:hint="cs"/>
          <w:sz w:val="28"/>
          <w:szCs w:val="28"/>
          <w:rtl/>
        </w:rPr>
        <w:t>ת</w:t>
      </w:r>
      <w:r>
        <w:rPr>
          <w:rFonts w:ascii="Narkisim" w:eastAsia="Calibri" w:hAnsi="Narkisim" w:cs="Narkisim"/>
          <w:sz w:val="28"/>
          <w:szCs w:val="28"/>
          <w:rtl/>
        </w:rPr>
        <w:t xml:space="preserve"> תושב לידיה באמצעות בא כוחה.  </w:t>
      </w:r>
    </w:p>
    <w:p w:rsidR="005456EA" w:rsidRDefault="005456EA" w:rsidP="005456EA">
      <w:pPr>
        <w:pStyle w:val="a4"/>
        <w:rPr>
          <w:rFonts w:ascii="Narkisim" w:eastAsia="Calibri" w:hAnsi="Narkisim" w:cs="Narkisim"/>
          <w:sz w:val="28"/>
          <w:szCs w:val="28"/>
        </w:rPr>
      </w:pPr>
    </w:p>
    <w:p w:rsidR="005456EA" w:rsidRDefault="005456EA" w:rsidP="005456EA">
      <w:pPr>
        <w:pStyle w:val="a4"/>
        <w:numPr>
          <w:ilvl w:val="0"/>
          <w:numId w:val="1"/>
        </w:numPr>
        <w:spacing w:line="360" w:lineRule="auto"/>
        <w:ind w:left="84" w:firstLine="0"/>
        <w:jc w:val="both"/>
        <w:rPr>
          <w:rFonts w:ascii="Narkisim" w:eastAsia="Calibri" w:hAnsi="Narkisim" w:cs="Narkisim"/>
          <w:sz w:val="28"/>
          <w:szCs w:val="28"/>
          <w:rtl/>
        </w:rPr>
      </w:pPr>
      <w:r>
        <w:rPr>
          <w:rFonts w:ascii="Narkisim" w:eastAsia="Calibri" w:hAnsi="Narkisim" w:cs="Narkisim"/>
          <w:sz w:val="28"/>
          <w:szCs w:val="28"/>
          <w:rtl/>
        </w:rPr>
        <w:t xml:space="preserve">ניתן לפרסום ללא פרטי הצדדים.  </w:t>
      </w:r>
    </w:p>
    <w:p w:rsidR="005456EA" w:rsidRPr="00C770E3" w:rsidRDefault="005456EA" w:rsidP="005456EA">
      <w:pPr>
        <w:spacing w:line="360" w:lineRule="auto"/>
        <w:jc w:val="both"/>
        <w:rPr>
          <w:rFonts w:ascii="Arial" w:hAnsi="Arial"/>
          <w:noProof w:val="0"/>
          <w:rtl/>
        </w:rPr>
      </w:pPr>
    </w:p>
    <w:p w:rsidR="005456EA" w:rsidRPr="00C770E3" w:rsidRDefault="005456EA" w:rsidP="005456EA">
      <w:pPr>
        <w:spacing w:line="360" w:lineRule="auto"/>
        <w:jc w:val="both"/>
        <w:rPr>
          <w:rFonts w:ascii="Arial" w:hAnsi="Arial"/>
          <w:noProof w:val="0"/>
          <w:rtl/>
        </w:rPr>
      </w:pPr>
    </w:p>
    <w:p w:rsidR="005456EA" w:rsidRDefault="005456EA" w:rsidP="005456EA">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מאי 2024</w:t>
          </w:r>
        </w:sdtContent>
      </w:sdt>
      <w:r>
        <w:rPr>
          <w:rFonts w:ascii="Arial" w:hAnsi="Arial"/>
          <w:noProof w:val="0"/>
          <w:rtl/>
        </w:rPr>
        <w:t>, בהעדר הצדדים.</w:t>
      </w:r>
    </w:p>
    <w:p w:rsidR="005456EA" w:rsidRDefault="00CA3670" w:rsidP="005456EA">
      <w:pPr>
        <w:tabs>
          <w:tab w:val="left" w:pos="2553"/>
        </w:tabs>
        <w:ind w:left="5040"/>
        <w:rPr>
          <w:rtl/>
        </w:rPr>
      </w:pPr>
      <w:sdt>
        <w:sdtPr>
          <w:rPr>
            <w:rFonts w:hint="cs"/>
            <w:rtl/>
          </w:rPr>
          <w:alias w:val="2045"/>
          <w:tag w:val="2045"/>
          <w:id w:val="740689340"/>
          <w:placeholder>
            <w:docPart w:val="FA8A6D4658074CE8AAE4403B65B8EB92"/>
          </w:placeholder>
          <w:showingPlcHdr/>
          <w:text w:multiLine="1"/>
        </w:sdtPr>
        <w:sdtEndPr/>
        <w:sdtContent>
          <w:r w:rsidR="005456EA">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5456EA" w:rsidTr="008618D5">
        <w:tc>
          <w:tcPr>
            <w:tcW w:w="2891" w:type="dxa"/>
            <w:vAlign w:val="center"/>
            <w:hideMark/>
          </w:tcPr>
          <w:sdt>
            <w:sdtPr>
              <w:rPr>
                <w:rFonts w:cs="Times New Roman"/>
                <w:rtl/>
              </w:rPr>
              <w:alias w:val="MergeField"/>
              <w:tag w:val="2250"/>
              <w:id w:val="2104453618"/>
            </w:sdtPr>
            <w:sdtEndPr/>
            <w:sdtContent>
              <w:p w:rsidR="005456EA" w:rsidRDefault="005456EA" w:rsidP="008618D5">
                <w:pPr>
                  <w:jc w:val="right"/>
                  <w:rPr>
                    <w:rFonts w:cs="Times New Roman"/>
                    <w:noProof w:val="0"/>
                  </w:rPr>
                </w:pPr>
                <w:r>
                  <w:drawing>
                    <wp:inline distT="0" distB="0" distL="0" distR="0" wp14:anchorId="72308BB2" wp14:editId="4B6C0F18">
                      <wp:extent cx="819150" cy="409575"/>
                      <wp:effectExtent l="0" t="0" r="0" b="952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137025089"/>
            </w:sdtPr>
            <w:sdtEndPr/>
            <w:sdtContent>
              <w:p w:rsidR="005456EA" w:rsidRDefault="005456EA" w:rsidP="008618D5">
                <w:pPr>
                  <w:jc w:val="right"/>
                </w:pPr>
                <w:r>
                  <w:drawing>
                    <wp:inline distT="0" distB="0" distL="0" distR="0" wp14:anchorId="0B8BE70F" wp14:editId="112BEE0A">
                      <wp:extent cx="840555" cy="395880"/>
                      <wp:effectExtent l="0" t="0" r="0" b="444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046" cy="398937"/>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791778829"/>
            </w:sdtPr>
            <w:sdtEndPr/>
            <w:sdtContent>
              <w:p w:rsidR="005456EA" w:rsidRDefault="005456EA" w:rsidP="008618D5">
                <w:pPr>
                  <w:jc w:val="right"/>
                </w:pPr>
                <w:r>
                  <w:drawing>
                    <wp:inline distT="0" distB="0" distL="0" distR="0" wp14:anchorId="5D57A2F7" wp14:editId="0613B374">
                      <wp:extent cx="645209" cy="682103"/>
                      <wp:effectExtent l="0" t="0" r="2540" b="381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2197" cy="689490"/>
                              </a:xfrm>
                              <a:prstGeom prst="rect">
                                <a:avLst/>
                              </a:prstGeom>
                              <a:noFill/>
                              <a:ln>
                                <a:noFill/>
                              </a:ln>
                            </pic:spPr>
                          </pic:pic>
                        </a:graphicData>
                      </a:graphic>
                    </wp:inline>
                  </w:drawing>
                </w:r>
              </w:p>
            </w:sdtContent>
          </w:sdt>
        </w:tc>
      </w:tr>
      <w:tr w:rsidR="005456EA" w:rsidTr="008618D5">
        <w:tc>
          <w:tcPr>
            <w:tcW w:w="2891" w:type="dxa"/>
            <w:vAlign w:val="center"/>
            <w:hideMark/>
          </w:tcPr>
          <w:p w:rsidR="005456EA" w:rsidRDefault="00CA3670" w:rsidP="008618D5">
            <w:pPr>
              <w:spacing w:line="360" w:lineRule="auto"/>
              <w:jc w:val="center"/>
              <w:rPr>
                <w:rFonts w:ascii="David" w:hAnsi="David"/>
              </w:rPr>
            </w:pPr>
            <w:sdt>
              <w:sdtPr>
                <w:rPr>
                  <w:rtl/>
                </w:rPr>
                <w:alias w:val="2235"/>
                <w:tag w:val="2235"/>
                <w:id w:val="-2078820481"/>
              </w:sdtPr>
              <w:sdtEndPr/>
              <w:sdtContent>
                <w:r w:rsidR="005456EA">
                  <w:rPr>
                    <w:rFonts w:ascii="David" w:hAnsi="David"/>
                    <w:rtl/>
                  </w:rPr>
                  <w:t>ורדה</w:t>
                </w:r>
              </w:sdtContent>
            </w:sdt>
            <w:r w:rsidR="005456EA">
              <w:rPr>
                <w:rFonts w:hint="cs"/>
                <w:rtl/>
              </w:rPr>
              <w:t xml:space="preserve">  </w:t>
            </w:r>
            <w:sdt>
              <w:sdtPr>
                <w:rPr>
                  <w:rFonts w:cs="Times New Roman"/>
                  <w:rtl/>
                </w:rPr>
                <w:alias w:val="2240"/>
                <w:tag w:val="2240"/>
                <w:id w:val="-589002830"/>
              </w:sdtPr>
              <w:sdtEndPr/>
              <w:sdtContent>
                <w:r w:rsidR="005456EA">
                  <w:rPr>
                    <w:rtl/>
                  </w:rPr>
                  <w:t>פלאוט</w:t>
                </w:r>
              </w:sdtContent>
            </w:sdt>
            <w:r w:rsidR="005456EA">
              <w:rPr>
                <w:rFonts w:hint="cs"/>
                <w:rtl/>
              </w:rPr>
              <w:t xml:space="preserve">, </w:t>
            </w:r>
            <w:sdt>
              <w:sdtPr>
                <w:rPr>
                  <w:rFonts w:cs="Times New Roman"/>
                  <w:rtl/>
                </w:rPr>
                <w:alias w:val="2245"/>
                <w:tag w:val="2245"/>
                <w:id w:val="287788758"/>
              </w:sdtPr>
              <w:sdtEndPr/>
              <w:sdtContent>
                <w:r w:rsidR="005456EA">
                  <w:rPr>
                    <w:rtl/>
                  </w:rPr>
                  <w:t>שופטת, סגנית הנשיאה</w:t>
                </w:r>
              </w:sdtContent>
            </w:sdt>
          </w:p>
        </w:tc>
        <w:tc>
          <w:tcPr>
            <w:tcW w:w="2891" w:type="dxa"/>
            <w:vAlign w:val="center"/>
            <w:hideMark/>
          </w:tcPr>
          <w:p w:rsidR="005456EA" w:rsidRDefault="00CA3670" w:rsidP="008618D5">
            <w:pPr>
              <w:spacing w:line="360" w:lineRule="auto"/>
              <w:jc w:val="center"/>
              <w:rPr>
                <w:rFonts w:ascii="David" w:hAnsi="David"/>
                <w:rtl/>
              </w:rPr>
            </w:pPr>
            <w:sdt>
              <w:sdtPr>
                <w:rPr>
                  <w:rtl/>
                </w:rPr>
                <w:alias w:val="2236"/>
                <w:tag w:val="2236"/>
                <w:id w:val="-1290358832"/>
              </w:sdtPr>
              <w:sdtEndPr/>
              <w:sdtContent>
                <w:r w:rsidR="005456EA">
                  <w:rPr>
                    <w:rFonts w:ascii="David" w:hAnsi="David"/>
                    <w:rtl/>
                  </w:rPr>
                  <w:t>צבי</w:t>
                </w:r>
              </w:sdtContent>
            </w:sdt>
            <w:r w:rsidR="005456EA">
              <w:rPr>
                <w:rFonts w:hint="cs"/>
                <w:rtl/>
              </w:rPr>
              <w:t xml:space="preserve"> </w:t>
            </w:r>
            <w:sdt>
              <w:sdtPr>
                <w:rPr>
                  <w:rFonts w:cs="Times New Roman"/>
                  <w:rtl/>
                </w:rPr>
                <w:alias w:val="2241"/>
                <w:tag w:val="2241"/>
                <w:id w:val="467016835"/>
              </w:sdtPr>
              <w:sdtEndPr/>
              <w:sdtContent>
                <w:r w:rsidR="005456EA">
                  <w:rPr>
                    <w:rtl/>
                  </w:rPr>
                  <w:t>ויצמן</w:t>
                </w:r>
              </w:sdtContent>
            </w:sdt>
            <w:r w:rsidR="005456EA">
              <w:rPr>
                <w:rFonts w:hint="cs"/>
                <w:rtl/>
              </w:rPr>
              <w:t xml:space="preserve">, </w:t>
            </w:r>
            <w:sdt>
              <w:sdtPr>
                <w:rPr>
                  <w:rFonts w:cs="Times New Roman"/>
                  <w:rtl/>
                </w:rPr>
                <w:alias w:val="2246"/>
                <w:tag w:val="2246"/>
                <w:id w:val="505792710"/>
              </w:sdtPr>
              <w:sdtEndPr/>
              <w:sdtContent>
                <w:r w:rsidR="005456EA">
                  <w:rPr>
                    <w:rtl/>
                  </w:rPr>
                  <w:t>שופט</w:t>
                </w:r>
              </w:sdtContent>
            </w:sdt>
          </w:p>
        </w:tc>
        <w:tc>
          <w:tcPr>
            <w:tcW w:w="2891" w:type="dxa"/>
            <w:vAlign w:val="center"/>
            <w:hideMark/>
          </w:tcPr>
          <w:p w:rsidR="005456EA" w:rsidRDefault="00CA3670" w:rsidP="008618D5">
            <w:pPr>
              <w:spacing w:line="360" w:lineRule="auto"/>
              <w:jc w:val="center"/>
              <w:rPr>
                <w:rFonts w:ascii="David" w:hAnsi="David"/>
                <w:rtl/>
              </w:rPr>
            </w:pPr>
            <w:sdt>
              <w:sdtPr>
                <w:rPr>
                  <w:rtl/>
                </w:rPr>
                <w:alias w:val="2237"/>
                <w:tag w:val="2237"/>
                <w:id w:val="-1470584248"/>
              </w:sdtPr>
              <w:sdtEndPr/>
              <w:sdtContent>
                <w:r w:rsidR="005456EA">
                  <w:rPr>
                    <w:rFonts w:ascii="David" w:hAnsi="David"/>
                    <w:rtl/>
                  </w:rPr>
                  <w:t>יעל</w:t>
                </w:r>
              </w:sdtContent>
            </w:sdt>
            <w:r w:rsidR="005456EA">
              <w:rPr>
                <w:rFonts w:hint="cs"/>
                <w:rtl/>
              </w:rPr>
              <w:t xml:space="preserve"> </w:t>
            </w:r>
            <w:sdt>
              <w:sdtPr>
                <w:rPr>
                  <w:rFonts w:cs="Times New Roman"/>
                  <w:rtl/>
                </w:rPr>
                <w:alias w:val="2242"/>
                <w:tag w:val="2242"/>
                <w:id w:val="-525483800"/>
              </w:sdtPr>
              <w:sdtEndPr/>
              <w:sdtContent>
                <w:r w:rsidR="005456EA">
                  <w:rPr>
                    <w:rtl/>
                  </w:rPr>
                  <w:t>מושקוביץ</w:t>
                </w:r>
              </w:sdtContent>
            </w:sdt>
            <w:r w:rsidR="005456EA">
              <w:rPr>
                <w:rFonts w:hint="cs"/>
                <w:rtl/>
              </w:rPr>
              <w:t xml:space="preserve">, </w:t>
            </w:r>
            <w:sdt>
              <w:sdtPr>
                <w:rPr>
                  <w:rFonts w:cs="Times New Roman"/>
                  <w:rtl/>
                </w:rPr>
                <w:alias w:val="2247"/>
                <w:tag w:val="2247"/>
                <w:id w:val="-130179184"/>
              </w:sdtPr>
              <w:sdtEndPr/>
              <w:sdtContent>
                <w:r w:rsidR="005456EA">
                  <w:rPr>
                    <w:rtl/>
                  </w:rPr>
                  <w:t>שופטת</w:t>
                </w:r>
              </w:sdtContent>
            </w:sdt>
          </w:p>
        </w:tc>
      </w:tr>
    </w:tbl>
    <w:p w:rsidR="005456EA" w:rsidRDefault="005456EA" w:rsidP="005456EA">
      <w:pPr>
        <w:tabs>
          <w:tab w:val="left" w:pos="7653"/>
        </w:tabs>
        <w:spacing w:line="360" w:lineRule="auto"/>
        <w:jc w:val="both"/>
        <w:rPr>
          <w:rFonts w:ascii="David" w:hAnsi="David"/>
          <w:rtl/>
        </w:rPr>
      </w:pPr>
      <w:r>
        <w:rPr>
          <w:rtl/>
        </w:rPr>
        <w:t xml:space="preserve"> </w:t>
      </w:r>
    </w:p>
    <w:p w:rsidR="005456EA" w:rsidRDefault="005456EA" w:rsidP="005456EA">
      <w:pPr>
        <w:tabs>
          <w:tab w:val="left" w:pos="2553"/>
        </w:tabs>
        <w:rPr>
          <w:rFonts w:ascii="Arial" w:hAnsi="Arial"/>
          <w:noProof w:val="0"/>
          <w:rtl/>
        </w:rPr>
      </w:pPr>
    </w:p>
    <w:p w:rsidR="008D1026" w:rsidRDefault="008D1026"/>
    <w:sectPr w:rsidR="008D1026"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670" w:rsidRDefault="00CA3670" w:rsidP="005456EA">
      <w:r>
        <w:separator/>
      </w:r>
    </w:p>
  </w:endnote>
  <w:endnote w:type="continuationSeparator" w:id="0">
    <w:p w:rsidR="00CA3670" w:rsidRDefault="00CA3670" w:rsidP="0054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onotype Hadassah">
    <w:panose1 w:val="00000000000000000000"/>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670" w:rsidRDefault="00CA3670" w:rsidP="005456EA">
      <w:r>
        <w:separator/>
      </w:r>
    </w:p>
  </w:footnote>
  <w:footnote w:type="continuationSeparator" w:id="0">
    <w:p w:rsidR="00CA3670" w:rsidRDefault="00CA3670" w:rsidP="0054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6EA" w:rsidRDefault="005456EA" w:rsidP="005456EA">
    <w:pPr>
      <w:pStyle w:val="a5"/>
      <w:jc w:val="center"/>
      <w:rPr>
        <w:rFonts w:cs="FrankRuehl"/>
        <w:noProof w:val="0"/>
        <w:sz w:val="28"/>
        <w:szCs w:val="28"/>
        <w:rtl/>
      </w:rPr>
    </w:pPr>
    <w:r>
      <w:rPr>
        <w:rFonts w:cs="FrankRuehl"/>
        <w:sz w:val="28"/>
        <w:szCs w:val="28"/>
      </w:rPr>
      <w:drawing>
        <wp:inline distT="0" distB="0" distL="0" distR="0" wp14:anchorId="05FAF9CF" wp14:editId="084E3146">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5456EA" w:rsidTr="008618D5">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5456EA" w:rsidRPr="00F038D8" w:rsidRDefault="005456EA" w:rsidP="005456EA">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5456EA" w:rsidTr="008618D5">
      <w:trPr>
        <w:trHeight w:val="337"/>
        <w:jc w:val="center"/>
      </w:trPr>
      <w:tc>
        <w:tcPr>
          <w:tcW w:w="8307" w:type="dxa"/>
        </w:tcPr>
        <w:p w:rsidR="005456EA" w:rsidRPr="00233388" w:rsidRDefault="00CA3670" w:rsidP="005456EA">
          <w:pPr>
            <w:rPr>
              <w:b/>
              <w:bCs/>
              <w:noProof w:val="0"/>
              <w:sz w:val="26"/>
              <w:szCs w:val="26"/>
              <w:rtl/>
            </w:rPr>
          </w:pPr>
          <w:sdt>
            <w:sdtPr>
              <w:rPr>
                <w:rtl/>
              </w:rPr>
              <w:alias w:val="1170"/>
              <w:tag w:val="1170"/>
              <w:id w:val="1066377040"/>
              <w:text w:multiLine="1"/>
            </w:sdtPr>
            <w:sdtEndPr/>
            <w:sdtContent>
              <w:r w:rsidR="005456EA">
                <w:rPr>
                  <w:b/>
                  <w:bCs/>
                  <w:noProof w:val="0"/>
                  <w:sz w:val="26"/>
                  <w:szCs w:val="26"/>
                  <w:rtl/>
                </w:rPr>
                <w:t>עמ"ש</w:t>
              </w:r>
            </w:sdtContent>
          </w:sdt>
          <w:r w:rsidR="005456EA">
            <w:rPr>
              <w:b/>
              <w:bCs/>
              <w:noProof w:val="0"/>
              <w:sz w:val="26"/>
              <w:szCs w:val="26"/>
              <w:rtl/>
            </w:rPr>
            <w:t xml:space="preserve"> </w:t>
          </w:r>
          <w:sdt>
            <w:sdtPr>
              <w:rPr>
                <w:rtl/>
              </w:rPr>
              <w:alias w:val="1171"/>
              <w:tag w:val="1171"/>
              <w:id w:val="257034231"/>
              <w:text w:multiLine="1"/>
            </w:sdtPr>
            <w:sdtEndPr/>
            <w:sdtContent>
              <w:r w:rsidR="005456EA">
                <w:rPr>
                  <w:b/>
                  <w:bCs/>
                  <w:noProof w:val="0"/>
                  <w:sz w:val="26"/>
                  <w:szCs w:val="26"/>
                  <w:rtl/>
                </w:rPr>
                <w:t>14444-09-23</w:t>
              </w:r>
            </w:sdtContent>
          </w:sdt>
          <w:r w:rsidR="005456EA">
            <w:rPr>
              <w:b/>
              <w:bCs/>
              <w:noProof w:val="0"/>
              <w:sz w:val="26"/>
              <w:szCs w:val="26"/>
              <w:rtl/>
            </w:rPr>
            <w:t xml:space="preserve"> </w:t>
          </w:r>
          <w:sdt>
            <w:sdtPr>
              <w:rPr>
                <w:b/>
                <w:bCs/>
                <w:noProof w:val="0"/>
                <w:sz w:val="26"/>
                <w:szCs w:val="26"/>
                <w:rtl/>
              </w:rPr>
              <w:alias w:val="3154"/>
              <w:tag w:val="3154"/>
              <w:id w:val="-1285889662"/>
              <w:placeholder>
                <w:docPart w:val="6F9BE0795FE7405CA342419B15BA3A4B"/>
              </w:placeholder>
              <w:text w:multiLine="1"/>
            </w:sdtPr>
            <w:sdtEndPr/>
            <w:sdtContent>
              <w:r w:rsidR="005456EA">
                <w:rPr>
                  <w:b/>
                  <w:bCs/>
                  <w:noProof w:val="0"/>
                  <w:sz w:val="26"/>
                  <w:szCs w:val="26"/>
                  <w:rtl/>
                </w:rPr>
                <w:t>ת</w:t>
              </w:r>
              <w:r w:rsidR="005456EA">
                <w:rPr>
                  <w:rFonts w:hint="cs"/>
                  <w:b/>
                  <w:bCs/>
                  <w:noProof w:val="0"/>
                  <w:sz w:val="26"/>
                  <w:szCs w:val="26"/>
                  <w:rtl/>
                </w:rPr>
                <w:t xml:space="preserve">. </w:t>
              </w:r>
              <w:r w:rsidR="005456EA">
                <w:rPr>
                  <w:b/>
                  <w:bCs/>
                  <w:noProof w:val="0"/>
                  <w:sz w:val="26"/>
                  <w:szCs w:val="26"/>
                  <w:rtl/>
                </w:rPr>
                <w:t>נ' י</w:t>
              </w:r>
              <w:r w:rsidR="005456EA">
                <w:rPr>
                  <w:rFonts w:hint="cs"/>
                  <w:b/>
                  <w:bCs/>
                  <w:noProof w:val="0"/>
                  <w:sz w:val="26"/>
                  <w:szCs w:val="26"/>
                  <w:rtl/>
                </w:rPr>
                <w:t>.</w:t>
              </w:r>
              <w:r w:rsidR="005456EA">
                <w:rPr>
                  <w:b/>
                  <w:bCs/>
                  <w:noProof w:val="0"/>
                  <w:sz w:val="26"/>
                  <w:szCs w:val="26"/>
                  <w:rtl/>
                </w:rPr>
                <w:t xml:space="preserve"> ואח'</w:t>
              </w:r>
            </w:sdtContent>
          </w:sdt>
          <w:r w:rsidR="005456EA">
            <w:rPr>
              <w:b/>
              <w:bCs/>
              <w:noProof w:val="0"/>
              <w:sz w:val="26"/>
              <w:szCs w:val="26"/>
              <w:rtl/>
            </w:rPr>
            <w:t xml:space="preserve"> </w:t>
          </w:r>
          <w:r w:rsidR="005456EA">
            <w:rPr>
              <w:sz w:val="20"/>
              <w:szCs w:val="20"/>
              <w:rtl/>
            </w:rPr>
            <w:t xml:space="preserve"> </w:t>
          </w:r>
        </w:p>
      </w:tc>
    </w:tr>
  </w:tbl>
  <w:p w:rsidR="005456EA" w:rsidRDefault="005456EA" w:rsidP="005456E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A473DC"/>
    <w:multiLevelType w:val="hybridMultilevel"/>
    <w:tmpl w:val="57C6D7DE"/>
    <w:lvl w:ilvl="0" w:tplc="526205D6">
      <w:start w:val="1"/>
      <w:numFmt w:val="decimal"/>
      <w:lvlText w:val="%1."/>
      <w:lvlJc w:val="left"/>
      <w:pPr>
        <w:ind w:left="786"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EA"/>
    <w:rsid w:val="00394AB7"/>
    <w:rsid w:val="0048491A"/>
    <w:rsid w:val="004B75C7"/>
    <w:rsid w:val="005456EA"/>
    <w:rsid w:val="008D1026"/>
    <w:rsid w:val="00CA3670"/>
    <w:rsid w:val="00E105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BD7022-A253-48AD-8BA8-703B2AED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6E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456E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456EA"/>
    <w:pPr>
      <w:ind w:left="720"/>
      <w:contextualSpacing/>
    </w:pPr>
  </w:style>
  <w:style w:type="paragraph" w:customStyle="1" w:styleId="Ruller4">
    <w:name w:val="Ruller4"/>
    <w:basedOn w:val="a"/>
    <w:rsid w:val="005456EA"/>
    <w:pPr>
      <w:tabs>
        <w:tab w:val="left" w:pos="800"/>
      </w:tabs>
      <w:overflowPunct w:val="0"/>
      <w:autoSpaceDE w:val="0"/>
      <w:autoSpaceDN w:val="0"/>
      <w:adjustRightInd w:val="0"/>
      <w:spacing w:line="360" w:lineRule="auto"/>
      <w:jc w:val="both"/>
    </w:pPr>
    <w:rPr>
      <w:rFonts w:cs="FrankRuehl"/>
      <w:noProof w:val="0"/>
      <w:spacing w:val="10"/>
      <w:szCs w:val="28"/>
    </w:rPr>
  </w:style>
  <w:style w:type="paragraph" w:customStyle="1" w:styleId="1">
    <w:name w:val="פיסקת רשימה1"/>
    <w:basedOn w:val="a"/>
    <w:qFormat/>
    <w:rsid w:val="005456EA"/>
    <w:pPr>
      <w:bidi w:val="0"/>
      <w:spacing w:before="100" w:beforeAutospacing="1" w:after="100" w:afterAutospacing="1"/>
    </w:pPr>
    <w:rPr>
      <w:rFonts w:cs="Times New Roman"/>
      <w:noProof w:val="0"/>
    </w:rPr>
  </w:style>
  <w:style w:type="paragraph" w:styleId="a5">
    <w:name w:val="header"/>
    <w:basedOn w:val="a"/>
    <w:link w:val="a6"/>
    <w:unhideWhenUsed/>
    <w:rsid w:val="005456EA"/>
    <w:pPr>
      <w:tabs>
        <w:tab w:val="center" w:pos="4153"/>
        <w:tab w:val="right" w:pos="8306"/>
      </w:tabs>
    </w:pPr>
  </w:style>
  <w:style w:type="character" w:customStyle="1" w:styleId="a6">
    <w:name w:val="כותרת עליונה תו"/>
    <w:basedOn w:val="a0"/>
    <w:link w:val="a5"/>
    <w:uiPriority w:val="99"/>
    <w:rsid w:val="005456EA"/>
    <w:rPr>
      <w:rFonts w:ascii="Times New Roman" w:eastAsia="Times New Roman" w:hAnsi="Times New Roman" w:cs="David"/>
      <w:noProof/>
      <w:sz w:val="24"/>
      <w:szCs w:val="24"/>
    </w:rPr>
  </w:style>
  <w:style w:type="paragraph" w:styleId="a7">
    <w:name w:val="footer"/>
    <w:basedOn w:val="a"/>
    <w:link w:val="a8"/>
    <w:uiPriority w:val="99"/>
    <w:unhideWhenUsed/>
    <w:rsid w:val="005456EA"/>
    <w:pPr>
      <w:tabs>
        <w:tab w:val="center" w:pos="4153"/>
        <w:tab w:val="right" w:pos="8306"/>
      </w:tabs>
    </w:pPr>
  </w:style>
  <w:style w:type="character" w:customStyle="1" w:styleId="a8">
    <w:name w:val="כותרת תחתונה תו"/>
    <w:basedOn w:val="a0"/>
    <w:link w:val="a7"/>
    <w:uiPriority w:val="99"/>
    <w:rsid w:val="005456EA"/>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6D6B5DE94B4D7EB3831162B12D7E3F"/>
        <w:category>
          <w:name w:val="כללי"/>
          <w:gallery w:val="placeholder"/>
        </w:category>
        <w:types>
          <w:type w:val="bbPlcHdr"/>
        </w:types>
        <w:behaviors>
          <w:behavior w:val="content"/>
        </w:behaviors>
        <w:guid w:val="{55C059E3-3655-4890-8D78-972D36F12E05}"/>
      </w:docPartPr>
      <w:docPartBody>
        <w:p w:rsidR="00F32B8D" w:rsidRDefault="002F7B78" w:rsidP="002F7B78">
          <w:pPr>
            <w:pStyle w:val="816D6B5DE94B4D7EB3831162B12D7E3F"/>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8298B55DC5B244ECB822F92B324F8B2C"/>
        <w:category>
          <w:name w:val="כללי"/>
          <w:gallery w:val="placeholder"/>
        </w:category>
        <w:types>
          <w:type w:val="bbPlcHdr"/>
        </w:types>
        <w:behaviors>
          <w:behavior w:val="content"/>
        </w:behaviors>
        <w:guid w:val="{E4D315C2-F959-4418-B133-22D294D149E0}"/>
      </w:docPartPr>
      <w:docPartBody>
        <w:p w:rsidR="00F32B8D" w:rsidRDefault="002F7B78" w:rsidP="002F7B78">
          <w:pPr>
            <w:pStyle w:val="8298B55DC5B244ECB822F92B324F8B2C"/>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FA8A6D4658074CE8AAE4403B65B8EB92"/>
        <w:category>
          <w:name w:val="כללי"/>
          <w:gallery w:val="placeholder"/>
        </w:category>
        <w:types>
          <w:type w:val="bbPlcHdr"/>
        </w:types>
        <w:behaviors>
          <w:behavior w:val="content"/>
        </w:behaviors>
        <w:guid w:val="{495C5D3B-924B-4AA3-B204-3DE10081F4AB}"/>
      </w:docPartPr>
      <w:docPartBody>
        <w:p w:rsidR="00F32B8D" w:rsidRDefault="002F7B78" w:rsidP="002F7B78">
          <w:pPr>
            <w:pStyle w:val="FA8A6D4658074CE8AAE4403B65B8EB92"/>
          </w:pPr>
          <w:r>
            <w:rPr>
              <w:rFonts w:hint="cs"/>
              <w:rtl/>
            </w:rPr>
            <w:t xml:space="preserve">     </w:t>
          </w:r>
        </w:p>
      </w:docPartBody>
    </w:docPart>
    <w:docPart>
      <w:docPartPr>
        <w:name w:val="6F9BE0795FE7405CA342419B15BA3A4B"/>
        <w:category>
          <w:name w:val="כללי"/>
          <w:gallery w:val="placeholder"/>
        </w:category>
        <w:types>
          <w:type w:val="bbPlcHdr"/>
        </w:types>
        <w:behaviors>
          <w:behavior w:val="content"/>
        </w:behaviors>
        <w:guid w:val="{06EC5C1E-03E8-4ED5-BFD2-3788CB1861D2}"/>
      </w:docPartPr>
      <w:docPartBody>
        <w:p w:rsidR="00F32B8D" w:rsidRDefault="002F7B78" w:rsidP="002F7B78">
          <w:pPr>
            <w:pStyle w:val="6F9BE0795FE7405CA342419B15BA3A4B"/>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onotype Hadassah">
    <w:panose1 w:val="00000000000000000000"/>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B78"/>
    <w:rsid w:val="002F7B78"/>
    <w:rsid w:val="00A07627"/>
    <w:rsid w:val="00D70AAE"/>
    <w:rsid w:val="00F32B8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6D6B5DE94B4D7EB3831162B12D7E3F">
    <w:name w:val="816D6B5DE94B4D7EB3831162B12D7E3F"/>
    <w:rsid w:val="002F7B78"/>
    <w:pPr>
      <w:bidi/>
    </w:pPr>
  </w:style>
  <w:style w:type="paragraph" w:customStyle="1" w:styleId="8298B55DC5B244ECB822F92B324F8B2C">
    <w:name w:val="8298B55DC5B244ECB822F92B324F8B2C"/>
    <w:rsid w:val="002F7B78"/>
    <w:pPr>
      <w:bidi/>
    </w:pPr>
  </w:style>
  <w:style w:type="paragraph" w:customStyle="1" w:styleId="FA8A6D4658074CE8AAE4403B65B8EB92">
    <w:name w:val="FA8A6D4658074CE8AAE4403B65B8EB92"/>
    <w:rsid w:val="002F7B78"/>
    <w:pPr>
      <w:bidi/>
    </w:pPr>
  </w:style>
  <w:style w:type="paragraph" w:customStyle="1" w:styleId="6F9BE0795FE7405CA342419B15BA3A4B">
    <w:name w:val="6F9BE0795FE7405CA342419B15BA3A4B"/>
    <w:rsid w:val="002F7B7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3885</Words>
  <Characters>19427</Characters>
  <Application>Microsoft Office Word</Application>
  <DocSecurity>0</DocSecurity>
  <Lines>161</Lines>
  <Paragraphs>46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2024-07-11T08:23:00Z</dcterms:created>
  <dcterms:modified xsi:type="dcterms:W3CDTF">2024-07-11T08:23:00Z</dcterms:modified>
</cp:coreProperties>
</file>